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757"/>
        <w:gridCol w:w="1276"/>
        <w:gridCol w:w="425"/>
        <w:gridCol w:w="709"/>
        <w:gridCol w:w="1701"/>
        <w:gridCol w:w="283"/>
        <w:gridCol w:w="3166"/>
      </w:tblGrid>
      <w:tr w:rsidR="00837C5A" w:rsidRPr="00DB4482">
        <w:tc>
          <w:tcPr>
            <w:tcW w:w="2093" w:type="dxa"/>
            <w:gridSpan w:val="2"/>
          </w:tcPr>
          <w:p w:rsidR="00837C5A" w:rsidRPr="00DB4482" w:rsidRDefault="00837C5A" w:rsidP="00DB4482">
            <w:pPr>
              <w:spacing w:after="0" w:line="240" w:lineRule="auto"/>
              <w:jc w:val="center"/>
              <w:rPr>
                <w:rFonts w:ascii="Times New Roman" w:hAnsi="Times New Roman" w:cs="Times New Roman"/>
              </w:rPr>
            </w:pPr>
            <w:r w:rsidRPr="00DB4482">
              <w:rPr>
                <w:rFonts w:ascii="Times New Roman" w:hAnsi="Times New Roman" w:cs="Times New Roman"/>
              </w:rPr>
              <w:t>Наименование</w:t>
            </w:r>
          </w:p>
          <w:p w:rsidR="00837C5A" w:rsidRPr="00DB4482" w:rsidRDefault="00837C5A" w:rsidP="00DB4482">
            <w:pPr>
              <w:spacing w:after="0" w:line="240" w:lineRule="auto"/>
              <w:jc w:val="center"/>
              <w:rPr>
                <w:rFonts w:ascii="Times New Roman" w:hAnsi="Times New Roman" w:cs="Times New Roman"/>
              </w:rPr>
            </w:pPr>
            <w:r w:rsidRPr="00DB4482">
              <w:rPr>
                <w:rFonts w:ascii="Times New Roman" w:hAnsi="Times New Roman" w:cs="Times New Roman"/>
              </w:rPr>
              <w:t>дисциплины</w:t>
            </w:r>
          </w:p>
        </w:tc>
        <w:tc>
          <w:tcPr>
            <w:tcW w:w="7560" w:type="dxa"/>
            <w:gridSpan w:val="6"/>
            <w:vAlign w:val="center"/>
          </w:tcPr>
          <w:p w:rsidR="00837C5A" w:rsidRPr="00DB4482" w:rsidRDefault="00837C5A" w:rsidP="00DB4482">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МЕТРОЛОГИЯ И ИЗМЕРИТЕЛЬНАЯ ТЕХНИКА</w:t>
            </w:r>
          </w:p>
        </w:tc>
      </w:tr>
      <w:tr w:rsidR="00837C5A" w:rsidRPr="00DB4482">
        <w:tc>
          <w:tcPr>
            <w:tcW w:w="1336" w:type="dxa"/>
          </w:tcPr>
          <w:p w:rsidR="00837C5A" w:rsidRPr="00DB4482" w:rsidRDefault="00837C5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Курс</w:t>
            </w:r>
          </w:p>
        </w:tc>
        <w:tc>
          <w:tcPr>
            <w:tcW w:w="757" w:type="dxa"/>
          </w:tcPr>
          <w:p w:rsidR="00837C5A" w:rsidRPr="00DB4482" w:rsidRDefault="00837C5A" w:rsidP="00DB4482">
            <w:pPr>
              <w:spacing w:after="0" w:line="240" w:lineRule="auto"/>
              <w:jc w:val="both"/>
              <w:rPr>
                <w:rFonts w:ascii="Times New Roman" w:hAnsi="Times New Roman" w:cs="Times New Roman"/>
              </w:rPr>
            </w:pPr>
            <w:r>
              <w:rPr>
                <w:rFonts w:ascii="Times New Roman" w:hAnsi="Times New Roman" w:cs="Times New Roman"/>
              </w:rPr>
              <w:t xml:space="preserve">    3</w:t>
            </w:r>
          </w:p>
        </w:tc>
        <w:tc>
          <w:tcPr>
            <w:tcW w:w="1276" w:type="dxa"/>
          </w:tcPr>
          <w:p w:rsidR="00837C5A" w:rsidRPr="00DB4482" w:rsidRDefault="00837C5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Семестр</w:t>
            </w:r>
          </w:p>
        </w:tc>
        <w:tc>
          <w:tcPr>
            <w:tcW w:w="1134" w:type="dxa"/>
            <w:gridSpan w:val="2"/>
          </w:tcPr>
          <w:p w:rsidR="00837C5A" w:rsidRPr="00DB4482" w:rsidRDefault="00837C5A" w:rsidP="00DB4482">
            <w:pPr>
              <w:spacing w:after="0" w:line="240" w:lineRule="auto"/>
              <w:jc w:val="both"/>
              <w:rPr>
                <w:rFonts w:ascii="Times New Roman" w:hAnsi="Times New Roman" w:cs="Times New Roman"/>
              </w:rPr>
            </w:pPr>
            <w:r>
              <w:rPr>
                <w:rFonts w:ascii="Times New Roman" w:hAnsi="Times New Roman" w:cs="Times New Roman"/>
              </w:rPr>
              <w:t xml:space="preserve">       6</w:t>
            </w:r>
          </w:p>
        </w:tc>
        <w:tc>
          <w:tcPr>
            <w:tcW w:w="1701" w:type="dxa"/>
          </w:tcPr>
          <w:p w:rsidR="00837C5A" w:rsidRPr="00DB4482" w:rsidRDefault="00837C5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Трудоемкость</w:t>
            </w:r>
          </w:p>
        </w:tc>
        <w:tc>
          <w:tcPr>
            <w:tcW w:w="3449" w:type="dxa"/>
            <w:gridSpan w:val="2"/>
          </w:tcPr>
          <w:p w:rsidR="00837C5A" w:rsidRPr="00711AE2" w:rsidRDefault="00837C5A" w:rsidP="00DB4482">
            <w:pPr>
              <w:spacing w:after="0" w:line="240" w:lineRule="auto"/>
              <w:jc w:val="both"/>
              <w:rPr>
                <w:rFonts w:ascii="Times New Roman" w:hAnsi="Times New Roman" w:cs="Times New Roman"/>
                <w:color w:val="000000"/>
              </w:rPr>
            </w:pPr>
            <w:r>
              <w:rPr>
                <w:rFonts w:ascii="Times New Roman" w:hAnsi="Times New Roman" w:cs="Times New Roman"/>
                <w:color w:val="000000"/>
              </w:rPr>
              <w:t>4 ЗЕ, 144 ч (68</w:t>
            </w:r>
            <w:r w:rsidRPr="00711AE2">
              <w:rPr>
                <w:rFonts w:ascii="Times New Roman" w:hAnsi="Times New Roman" w:cs="Times New Roman"/>
                <w:color w:val="000000"/>
              </w:rPr>
              <w:t xml:space="preserve"> ч ауд. зан.)</w:t>
            </w:r>
          </w:p>
        </w:tc>
      </w:tr>
      <w:tr w:rsidR="00837C5A" w:rsidRPr="00DB4482">
        <w:tc>
          <w:tcPr>
            <w:tcW w:w="2093" w:type="dxa"/>
            <w:gridSpan w:val="2"/>
          </w:tcPr>
          <w:p w:rsidR="00837C5A" w:rsidRPr="00DB4482" w:rsidRDefault="00837C5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Виды занятий</w:t>
            </w:r>
          </w:p>
        </w:tc>
        <w:tc>
          <w:tcPr>
            <w:tcW w:w="1276" w:type="dxa"/>
          </w:tcPr>
          <w:p w:rsidR="00837C5A" w:rsidRPr="00DB4482" w:rsidRDefault="00837C5A"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ЛК, </w:t>
            </w:r>
            <w:r w:rsidRPr="00711AE2">
              <w:rPr>
                <w:rFonts w:ascii="Times New Roman" w:hAnsi="Times New Roman" w:cs="Times New Roman"/>
                <w:color w:val="000000"/>
              </w:rPr>
              <w:t xml:space="preserve">ЛР </w:t>
            </w:r>
          </w:p>
        </w:tc>
        <w:tc>
          <w:tcPr>
            <w:tcW w:w="2835" w:type="dxa"/>
            <w:gridSpan w:val="3"/>
          </w:tcPr>
          <w:p w:rsidR="00837C5A" w:rsidRPr="00DB4482" w:rsidRDefault="00837C5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Формы аттестации</w:t>
            </w:r>
          </w:p>
        </w:tc>
        <w:tc>
          <w:tcPr>
            <w:tcW w:w="3449" w:type="dxa"/>
            <w:gridSpan w:val="2"/>
          </w:tcPr>
          <w:p w:rsidR="00837C5A" w:rsidRPr="00711AE2" w:rsidRDefault="00837C5A" w:rsidP="00DB4482">
            <w:pPr>
              <w:spacing w:after="0" w:line="240" w:lineRule="auto"/>
              <w:jc w:val="both"/>
              <w:rPr>
                <w:rFonts w:ascii="Times New Roman" w:hAnsi="Times New Roman" w:cs="Times New Roman"/>
                <w:color w:val="000000"/>
              </w:rPr>
            </w:pPr>
            <w:r w:rsidRPr="00711AE2">
              <w:rPr>
                <w:rFonts w:ascii="Times New Roman" w:hAnsi="Times New Roman" w:cs="Times New Roman"/>
                <w:color w:val="000000"/>
              </w:rPr>
              <w:t>Зачет</w:t>
            </w:r>
            <w:r>
              <w:rPr>
                <w:rFonts w:ascii="Times New Roman" w:hAnsi="Times New Roman" w:cs="Times New Roman"/>
                <w:color w:val="000000"/>
              </w:rPr>
              <w:t>, экзамен</w:t>
            </w:r>
          </w:p>
        </w:tc>
      </w:tr>
      <w:tr w:rsidR="00837C5A" w:rsidRPr="00DB4482">
        <w:tc>
          <w:tcPr>
            <w:tcW w:w="3794" w:type="dxa"/>
            <w:gridSpan w:val="4"/>
          </w:tcPr>
          <w:p w:rsidR="00837C5A" w:rsidRPr="00DB4482" w:rsidRDefault="00837C5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Интерактивные формы обучения</w:t>
            </w:r>
          </w:p>
        </w:tc>
        <w:tc>
          <w:tcPr>
            <w:tcW w:w="5859" w:type="dxa"/>
            <w:gridSpan w:val="4"/>
          </w:tcPr>
          <w:p w:rsidR="00837C5A" w:rsidRPr="00DB4482" w:rsidRDefault="00837C5A"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Интерактивные лекции, </w:t>
            </w:r>
            <w:r>
              <w:rPr>
                <w:rFonts w:ascii="Times New Roman" w:hAnsi="Times New Roman" w:cs="Times New Roman"/>
              </w:rPr>
              <w:t>мультимедийные презентации</w:t>
            </w:r>
            <w:r w:rsidRPr="00DB4482">
              <w:rPr>
                <w:rFonts w:ascii="Times New Roman" w:hAnsi="Times New Roman" w:cs="Times New Roman"/>
              </w:rPr>
              <w:t>, исследовательский практикум, дискуссии и др.</w:t>
            </w:r>
          </w:p>
        </w:tc>
      </w:tr>
      <w:tr w:rsidR="00837C5A" w:rsidRPr="00DB4482">
        <w:tc>
          <w:tcPr>
            <w:tcW w:w="9653" w:type="dxa"/>
            <w:gridSpan w:val="8"/>
            <w:shd w:val="clear" w:color="auto" w:fill="404040"/>
          </w:tcPr>
          <w:p w:rsidR="00837C5A" w:rsidRPr="00DB4482" w:rsidRDefault="00837C5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Цели освоения дисциплины</w:t>
            </w:r>
          </w:p>
        </w:tc>
      </w:tr>
      <w:tr w:rsidR="00837C5A" w:rsidRPr="00DB4482">
        <w:tc>
          <w:tcPr>
            <w:tcW w:w="9653" w:type="dxa"/>
            <w:gridSpan w:val="8"/>
          </w:tcPr>
          <w:p w:rsidR="00837C5A" w:rsidRPr="00DB4482" w:rsidRDefault="00837C5A" w:rsidP="00DB4482">
            <w:pPr>
              <w:autoSpaceDE w:val="0"/>
              <w:autoSpaceDN w:val="0"/>
              <w:adjustRightInd w:val="0"/>
              <w:spacing w:after="0" w:line="240" w:lineRule="auto"/>
              <w:jc w:val="both"/>
              <w:rPr>
                <w:rFonts w:ascii="Times New Roman" w:hAnsi="Times New Roman" w:cs="Times New Roman"/>
              </w:rPr>
            </w:pPr>
            <w:r>
              <w:rPr>
                <w:rStyle w:val="FontStyle157"/>
                <w:rFonts w:cs="Times New Roman"/>
                <w:i w:val="0"/>
                <w:sz w:val="22"/>
              </w:rPr>
              <w:t>И</w:t>
            </w:r>
            <w:r w:rsidRPr="00DC4BA9">
              <w:rPr>
                <w:rStyle w:val="FontStyle157"/>
                <w:rFonts w:cs="Times New Roman"/>
                <w:i w:val="0"/>
                <w:sz w:val="22"/>
              </w:rPr>
              <w:t>зучение методов и способов измерения технологических параметров, автоматизация измерений, определения точности измерений, вероятностны</w:t>
            </w:r>
            <w:r>
              <w:rPr>
                <w:rStyle w:val="FontStyle157"/>
                <w:rFonts w:cs="Times New Roman"/>
                <w:i w:val="0"/>
                <w:sz w:val="22"/>
              </w:rPr>
              <w:t>е оценки погрешности измерения, и</w:t>
            </w:r>
            <w:r w:rsidRPr="00DC4BA9">
              <w:rPr>
                <w:rStyle w:val="FontStyle157"/>
                <w:rFonts w:cs="Times New Roman"/>
                <w:i w:val="0"/>
                <w:sz w:val="22"/>
              </w:rPr>
              <w:t>зучение основ обеспечения единства измерений, стандартизация и сертификация.</w:t>
            </w:r>
          </w:p>
        </w:tc>
      </w:tr>
      <w:tr w:rsidR="00837C5A" w:rsidRPr="00DB4482">
        <w:tc>
          <w:tcPr>
            <w:tcW w:w="9653" w:type="dxa"/>
            <w:gridSpan w:val="8"/>
            <w:shd w:val="clear" w:color="auto" w:fill="404040"/>
          </w:tcPr>
          <w:p w:rsidR="00837C5A" w:rsidRPr="00DB4482" w:rsidRDefault="00837C5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Место дисциплины в структуре ООП</w:t>
            </w:r>
          </w:p>
        </w:tc>
      </w:tr>
      <w:tr w:rsidR="00837C5A" w:rsidRPr="00DB4482">
        <w:tc>
          <w:tcPr>
            <w:tcW w:w="9653" w:type="dxa"/>
            <w:gridSpan w:val="8"/>
          </w:tcPr>
          <w:p w:rsidR="00837C5A" w:rsidRDefault="00837C5A" w:rsidP="00DB4482">
            <w:pPr>
              <w:spacing w:after="0" w:line="240" w:lineRule="auto"/>
              <w:jc w:val="both"/>
              <w:rPr>
                <w:rStyle w:val="FontStyle157"/>
                <w:rFonts w:cs="Times New Roman"/>
                <w:i w:val="0"/>
                <w:sz w:val="22"/>
              </w:rPr>
            </w:pPr>
            <w:r w:rsidRPr="00DC4BA9">
              <w:rPr>
                <w:rStyle w:val="FontStyle157"/>
                <w:rFonts w:cs="Times New Roman"/>
                <w:i w:val="0"/>
                <w:sz w:val="22"/>
              </w:rPr>
              <w:t>Дисциплина относится к базовым дисциплинам профиля, базируется на результатах изучения дисципли</w:t>
            </w:r>
            <w:r>
              <w:rPr>
                <w:rStyle w:val="FontStyle157"/>
                <w:rFonts w:cs="Times New Roman"/>
                <w:i w:val="0"/>
                <w:sz w:val="22"/>
              </w:rPr>
              <w:t>н математического и естественно</w:t>
            </w:r>
            <w:r w:rsidRPr="00DC4BA9">
              <w:rPr>
                <w:rStyle w:val="FontStyle157"/>
                <w:rFonts w:cs="Times New Roman"/>
                <w:i w:val="0"/>
                <w:sz w:val="22"/>
              </w:rPr>
              <w:t>научного цикла (математики, физики, химии, информационные технологии) и профессионального цикла (электротехника и электроника).</w:t>
            </w:r>
          </w:p>
          <w:p w:rsidR="00837C5A" w:rsidRPr="00DB4482" w:rsidRDefault="00837C5A" w:rsidP="00DB4482">
            <w:pPr>
              <w:spacing w:after="0" w:line="240" w:lineRule="auto"/>
              <w:jc w:val="both"/>
              <w:rPr>
                <w:rFonts w:ascii="Times New Roman" w:hAnsi="Times New Roman" w:cs="Times New Roman"/>
              </w:rPr>
            </w:pPr>
            <w:r w:rsidRPr="00DC4BA9">
              <w:rPr>
                <w:rStyle w:val="FontStyle157"/>
                <w:rFonts w:cs="Times New Roman"/>
                <w:i w:val="0"/>
                <w:sz w:val="22"/>
              </w:rPr>
              <w:t>Освоение данной дисциплины как предшествующей необходимо при изучении следующих дисциплин: “Автоматизация технологических процессов“, “Проектирование систем автоматизации“, “Технологические процессы автоматизированных производств“, “Приборы и системы автоматизации“.</w:t>
            </w:r>
          </w:p>
        </w:tc>
      </w:tr>
      <w:tr w:rsidR="00837C5A" w:rsidRPr="00DB4482">
        <w:tc>
          <w:tcPr>
            <w:tcW w:w="9653" w:type="dxa"/>
            <w:gridSpan w:val="8"/>
            <w:shd w:val="clear" w:color="auto" w:fill="404040"/>
          </w:tcPr>
          <w:p w:rsidR="00837C5A" w:rsidRPr="00DB4482" w:rsidRDefault="00837C5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 xml:space="preserve">Основное содержание </w:t>
            </w:r>
          </w:p>
        </w:tc>
      </w:tr>
      <w:tr w:rsidR="00837C5A" w:rsidRPr="00DB4482">
        <w:tc>
          <w:tcPr>
            <w:tcW w:w="9653" w:type="dxa"/>
            <w:gridSpan w:val="8"/>
          </w:tcPr>
          <w:p w:rsidR="00837C5A" w:rsidRPr="009B19D2" w:rsidRDefault="00837C5A" w:rsidP="009B19D2">
            <w:pPr>
              <w:jc w:val="both"/>
              <w:rPr>
                <w:rStyle w:val="FontStyle157"/>
                <w:rFonts w:cs="Times New Roman"/>
                <w:i w:val="0"/>
                <w:sz w:val="22"/>
              </w:rPr>
            </w:pPr>
            <w:r w:rsidRPr="0031224F">
              <w:rPr>
                <w:rFonts w:ascii="Times New Roman" w:eastAsia="TimesNewRomanPS-BoldMT" w:hAnsi="Times New Roman" w:cs="Times New Roman"/>
                <w:b/>
                <w:bCs/>
              </w:rPr>
              <w:t>Модуль 1 «</w:t>
            </w:r>
            <w:r>
              <w:rPr>
                <w:rFonts w:ascii="Times New Roman" w:eastAsia="TimesNewRomanPS-BoldMT" w:hAnsi="Times New Roman" w:cs="Times New Roman"/>
                <w:b/>
                <w:bCs/>
              </w:rPr>
              <w:t>Основные понятия и определения современной метрологии</w:t>
            </w:r>
            <w:r w:rsidRPr="0031224F">
              <w:rPr>
                <w:rFonts w:ascii="Times New Roman" w:eastAsia="TimesNewRomanPS-BoldMT" w:hAnsi="Times New Roman" w:cs="Times New Roman"/>
                <w:b/>
                <w:bCs/>
              </w:rPr>
              <w:t>»</w:t>
            </w:r>
            <w:r w:rsidRPr="00DB4482">
              <w:rPr>
                <w:rFonts w:ascii="Times New Roman" w:eastAsia="TimesNewRomanPS-BoldMT" w:hAnsi="Times New Roman" w:cs="Times New Roman"/>
              </w:rPr>
              <w:t xml:space="preserve"> </w:t>
            </w:r>
            <w:r w:rsidRPr="009B19D2">
              <w:rPr>
                <w:rStyle w:val="FontStyle157"/>
                <w:rFonts w:cs="Times New Roman"/>
                <w:i w:val="0"/>
                <w:sz w:val="22"/>
              </w:rPr>
              <w:t>(Физические величины, единицы измерения физической величины. Метрологическая служба и ее деятельность, Государственная система обеспечения единства измерений, общие положения: цель и сфера деятельности федерального закона,  аттестация методик, ввод в эксплуатацию средств измерений, государственный первичный эталон единицы величины, единство измерений, измерение.  утверждение типа средств измерений, методика измерений, метрологическая экспертиза, метрологическая служба юридического лица, государственный метрологический контроль, государственный метрологический надзор, поверка средств измерений, калибровка средств измерений, сертификация продукции, основные понятия взаимозаменяемости и стандартизации. Требования к измерениям, единицам величины, эталонам единиц величины, стандартным образцам, средствам измерений. Государственное регулирование в области обеспечения единства измерений. Аккредитация в области обеспечения единства измерений. Федеральный информационный</w:t>
            </w:r>
            <w:r w:rsidRPr="009B19D2">
              <w:rPr>
                <w:rStyle w:val="FontStyle157"/>
                <w:rFonts w:cs="Times New Roman"/>
                <w:i w:val="0"/>
                <w:sz w:val="22"/>
              </w:rPr>
              <w:tab/>
              <w:t>фонд по обеспечению единства измерений. Организационные основы обеспечения единства измерений. Ответственность за нарушение законодательства Российской Федерации об обеспечении единства измерений. Финансирование в области обеспечения единства измерений)</w:t>
            </w:r>
          </w:p>
          <w:p w:rsidR="00837C5A" w:rsidRPr="009B19D2" w:rsidRDefault="00837C5A" w:rsidP="009B19D2">
            <w:pPr>
              <w:jc w:val="both"/>
              <w:rPr>
                <w:rStyle w:val="FontStyle157"/>
                <w:rFonts w:cs="Times New Roman"/>
                <w:i w:val="0"/>
                <w:sz w:val="22"/>
              </w:rPr>
            </w:pPr>
            <w:r>
              <w:rPr>
                <w:rFonts w:ascii="Times New Roman" w:eastAsia="TimesNewRomanPS-BoldMT" w:hAnsi="Times New Roman" w:cs="Times New Roman"/>
                <w:b/>
                <w:bCs/>
              </w:rPr>
              <w:t>Модуль 2 «Погрешности измерений</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Style w:val="FontStyle157"/>
                <w:rFonts w:cs="Times New Roman"/>
                <w:i w:val="0"/>
                <w:sz w:val="22"/>
              </w:rPr>
              <w:t>(Абсолютная, относительная, приведенная, погрешность результата измерений. Систематическая погрешность измерений, инструментальные и методические погрешности, основная и дополнительная погрешность, статические и динамические погрешности, систематические, прогрессирующие и   случайные  погрешности, погрешности адекватности, градуировки и воспроизводимости средств измерений,  понятие полосы погрешностей, реальной и номинальной характеристик СИ. Аддитивные и мультипликативные погрешности, погрешность квантования. Методы нормирования погрешностей средств измерений. Распределения случайных величин, числовые характеристики случайных величин, моменты случайных величин, законы распределения случайных величин, инструментальная погрешность измерения, погрешность метода измерений, рассеяние результатов в ряду измерений, промах, предел допускаемой погрешности средств измерений)</w:t>
            </w:r>
          </w:p>
          <w:p w:rsidR="00837C5A" w:rsidRPr="009D5045" w:rsidRDefault="00837C5A" w:rsidP="009B19D2">
            <w:pPr>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3 «</w:t>
            </w:r>
            <w:r>
              <w:rPr>
                <w:rFonts w:ascii="Times New Roman" w:eastAsia="TimesNewRomanPS-BoldMT" w:hAnsi="Times New Roman" w:cs="Times New Roman"/>
                <w:b/>
                <w:bCs/>
              </w:rPr>
              <w:t>Обработка результатов измерений</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Точечные оценки параметров распределения случайных величин и отклонений, интервальные оценки числовых характеристик, расчет погрешностей прямых и косвенных измерений при многократных наблюдениях, критерий ничтожных погрешностей косвенного измерения, критерий обнаружения грубых погрешностей, правила округления значений погрешности и результатов измерений</w:t>
            </w:r>
            <w:r w:rsidRPr="009D5045">
              <w:rPr>
                <w:rFonts w:ascii="Times New Roman" w:eastAsia="TimesNewRomanPS-BoldMT" w:hAnsi="Times New Roman" w:cs="Times New Roman"/>
              </w:rPr>
              <w:t>)</w:t>
            </w:r>
          </w:p>
          <w:p w:rsidR="00837C5A" w:rsidRDefault="00837C5A" w:rsidP="009B19D2">
            <w:pPr>
              <w:jc w:val="both"/>
              <w:rPr>
                <w:rFonts w:ascii="Times New Roman" w:eastAsia="TimesNewRomanPS-BoldMT" w:hAnsi="Times New Roman"/>
              </w:rPr>
            </w:pPr>
            <w:r w:rsidRPr="0031224F">
              <w:rPr>
                <w:rFonts w:ascii="Times New Roman" w:eastAsia="TimesNewRomanPS-BoldMT" w:hAnsi="Times New Roman" w:cs="Times New Roman"/>
                <w:b/>
                <w:bCs/>
              </w:rPr>
              <w:t>Модуль 4 «</w:t>
            </w:r>
            <w:r>
              <w:rPr>
                <w:rFonts w:ascii="Times New Roman" w:eastAsia="TimesNewRomanPS-BoldMT" w:hAnsi="Times New Roman" w:cs="Times New Roman"/>
                <w:b/>
                <w:bCs/>
              </w:rPr>
              <w:t>Средства измерений</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Классификация средств измерений, основные метрологические характеристики средств измерений, статические и динамические характеристики средств измерений. Меры, измерительные приборы, измерительные преобразователи, измерительные установки, измерительные информационные системы</w:t>
            </w:r>
            <w:r>
              <w:rPr>
                <w:rFonts w:ascii="Times New Roman" w:eastAsia="TimesNewRomanPS-BoldMT" w:hAnsi="Times New Roman" w:cs="Times New Roman"/>
              </w:rPr>
              <w:t>)</w:t>
            </w:r>
          </w:p>
          <w:p w:rsidR="00837C5A" w:rsidRDefault="00837C5A" w:rsidP="009B19D2">
            <w:pPr>
              <w:jc w:val="both"/>
              <w:rPr>
                <w:rFonts w:ascii="Times New Roman" w:eastAsia="TimesNewRomanPS-BoldMT" w:hAnsi="Times New Roman"/>
              </w:rPr>
            </w:pPr>
            <w:r w:rsidRPr="0031224F">
              <w:rPr>
                <w:rFonts w:ascii="Times New Roman" w:eastAsia="TimesNewRomanPS-BoldMT" w:hAnsi="Times New Roman" w:cs="Times New Roman"/>
                <w:b/>
                <w:bCs/>
              </w:rPr>
              <w:t>Модуль 5 «</w:t>
            </w:r>
            <w:r>
              <w:rPr>
                <w:rFonts w:ascii="Times New Roman" w:eastAsia="TimesNewRomanPS-BoldMT" w:hAnsi="Times New Roman" w:cs="Times New Roman"/>
                <w:b/>
                <w:bCs/>
              </w:rPr>
              <w:t>Методы измерений физических величин</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Метод непосредственной оценки, метод сравнения с мерой, системы единиц физических величин, эталоны единиц физических величин, поверочные установки, методики поверки физических величин</w:t>
            </w:r>
            <w:r w:rsidRPr="009D5045">
              <w:rPr>
                <w:rFonts w:ascii="Times New Roman" w:eastAsia="TimesNewRomanPS-BoldMT" w:hAnsi="Times New Roman" w:cs="Times New Roman"/>
              </w:rPr>
              <w:t>).</w:t>
            </w:r>
          </w:p>
          <w:p w:rsidR="00837C5A" w:rsidRPr="009B19D2" w:rsidRDefault="00837C5A" w:rsidP="009B19D2">
            <w:pPr>
              <w:jc w:val="both"/>
              <w:rPr>
                <w:rFonts w:ascii="Times New Roman" w:eastAsia="TimesNewRomanPS-BoldMT" w:hAnsi="Times New Roman"/>
              </w:rPr>
            </w:pPr>
            <w:r w:rsidRPr="0031224F">
              <w:rPr>
                <w:rFonts w:ascii="Times New Roman" w:eastAsia="TimesNewRomanPS-BoldMT" w:hAnsi="Times New Roman" w:cs="Times New Roman"/>
                <w:b/>
                <w:bCs/>
              </w:rPr>
              <w:t>Модуль 6 «</w:t>
            </w:r>
            <w:r>
              <w:rPr>
                <w:rFonts w:ascii="Times New Roman" w:eastAsia="TimesNewRomanPS-BoldMT" w:hAnsi="Times New Roman" w:cs="Times New Roman"/>
                <w:b/>
                <w:bCs/>
              </w:rPr>
              <w:t>Измерение электрических, магнитных и неэлектрических величин</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Принцип измерения силы тока, напряжения, мощности, частоты электрического тока, электрического сопротивления, магнитной индукции, температуры, давления, расхода, уровня, плотности, концентрации, веса, скорости, влажности, вязкости</w:t>
            </w:r>
            <w:r w:rsidRPr="009D5045">
              <w:rPr>
                <w:rFonts w:ascii="Times New Roman" w:eastAsia="TimesNewRomanPS-BoldMT" w:hAnsi="Times New Roman" w:cs="Times New Roman"/>
              </w:rPr>
              <w:t>)</w:t>
            </w:r>
          </w:p>
        </w:tc>
      </w:tr>
      <w:tr w:rsidR="00837C5A" w:rsidRPr="00DB4482">
        <w:tc>
          <w:tcPr>
            <w:tcW w:w="9653" w:type="dxa"/>
            <w:gridSpan w:val="8"/>
            <w:shd w:val="clear" w:color="auto" w:fill="404040"/>
          </w:tcPr>
          <w:p w:rsidR="00837C5A" w:rsidRPr="00DB4482" w:rsidRDefault="00837C5A" w:rsidP="00DB4482">
            <w:pPr>
              <w:spacing w:after="0" w:line="240" w:lineRule="auto"/>
              <w:rPr>
                <w:rFonts w:ascii="Times New Roman" w:hAnsi="Times New Roman" w:cs="Times New Roman"/>
                <w:b/>
                <w:bCs/>
                <w:color w:val="FFFFFF"/>
              </w:rPr>
            </w:pPr>
            <w:r w:rsidRPr="00DB4482">
              <w:rPr>
                <w:rFonts w:ascii="Times New Roman" w:hAnsi="Times New Roman" w:cs="Times New Roman"/>
                <w:b/>
                <w:bCs/>
                <w:color w:val="FFFFFF"/>
              </w:rPr>
              <w:t>Формируемые компетенции</w:t>
            </w:r>
          </w:p>
        </w:tc>
      </w:tr>
      <w:tr w:rsidR="00837C5A" w:rsidRPr="00DB4482">
        <w:tc>
          <w:tcPr>
            <w:tcW w:w="9653" w:type="dxa"/>
            <w:gridSpan w:val="8"/>
          </w:tcPr>
          <w:p w:rsidR="00837C5A" w:rsidRPr="009B19D2" w:rsidRDefault="00837C5A"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обладать способностью стремиться к саморазвитию, повышению своей квалификации и мастерства (ОК-6);</w:t>
            </w:r>
          </w:p>
          <w:p w:rsidR="00837C5A" w:rsidRPr="009B19D2" w:rsidRDefault="00837C5A"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способность проводить мероприятия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 (ПК-34);</w:t>
            </w:r>
          </w:p>
          <w:p w:rsidR="00837C5A" w:rsidRPr="009B19D2" w:rsidRDefault="00837C5A"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способность участвовать в разработке и практическом освоении средств, систем автоматизации и управления производством продукции, ее жизненным циклом и качеством, подготовки планов освоения новой техники, составление заявок на проведение сертификации (ПК-35);</w:t>
            </w:r>
          </w:p>
          <w:p w:rsidR="00837C5A" w:rsidRPr="009B19D2" w:rsidRDefault="00837C5A"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способность проводить эксперименты по заданным методикам с обработкой и анализом их результатов, составление описание выполненных исследований и подготавливать данные для разработки научных обзоров и публикаций (ПК-42);</w:t>
            </w:r>
          </w:p>
          <w:p w:rsidR="00837C5A" w:rsidRPr="009B19D2" w:rsidRDefault="00837C5A" w:rsidP="009B19D2">
            <w:pPr>
              <w:pStyle w:val="Style58"/>
              <w:widowControl/>
              <w:numPr>
                <w:ilvl w:val="0"/>
                <w:numId w:val="1"/>
              </w:numPr>
              <w:tabs>
                <w:tab w:val="clear" w:pos="360"/>
                <w:tab w:val="left" w:pos="0"/>
                <w:tab w:val="left" w:pos="210"/>
              </w:tabs>
              <w:ind w:left="0" w:firstLine="0"/>
              <w:jc w:val="both"/>
              <w:rPr>
                <w:sz w:val="22"/>
                <w:szCs w:val="22"/>
              </w:rPr>
            </w:pPr>
            <w:r w:rsidRPr="009B19D2">
              <w:rPr>
                <w:rStyle w:val="FontStyle74"/>
                <w:sz w:val="22"/>
                <w:szCs w:val="22"/>
              </w:rPr>
              <w:t>способность участвовать в организации приемки и освоения вводимых в эксплуатацию оборудования, технических средств и систем автоматизации, контроля, диагностики, испытаний и управления (ПК-51).</w:t>
            </w:r>
          </w:p>
        </w:tc>
      </w:tr>
      <w:tr w:rsidR="00837C5A" w:rsidRPr="00DB4482">
        <w:tc>
          <w:tcPr>
            <w:tcW w:w="9653" w:type="dxa"/>
            <w:gridSpan w:val="8"/>
            <w:shd w:val="clear" w:color="auto" w:fill="404040"/>
          </w:tcPr>
          <w:p w:rsidR="00837C5A" w:rsidRPr="00DB4482" w:rsidRDefault="00837C5A" w:rsidP="00DB4482">
            <w:pPr>
              <w:pStyle w:val="Style58"/>
              <w:widowControl/>
              <w:tabs>
                <w:tab w:val="left" w:pos="0"/>
                <w:tab w:val="left" w:pos="210"/>
              </w:tabs>
              <w:jc w:val="both"/>
              <w:rPr>
                <w:rStyle w:val="FontStyle74"/>
                <w:b/>
                <w:bCs/>
                <w:sz w:val="22"/>
                <w:szCs w:val="22"/>
              </w:rPr>
            </w:pPr>
            <w:r w:rsidRPr="00DB4482">
              <w:rPr>
                <w:rStyle w:val="FontStyle74"/>
                <w:b/>
                <w:bCs/>
                <w:color w:val="FFFFFF"/>
                <w:sz w:val="22"/>
                <w:szCs w:val="22"/>
              </w:rPr>
              <w:t>Образовательные результаты</w:t>
            </w:r>
          </w:p>
        </w:tc>
      </w:tr>
      <w:tr w:rsidR="00837C5A" w:rsidRPr="00DB4482">
        <w:tc>
          <w:tcPr>
            <w:tcW w:w="9653" w:type="dxa"/>
            <w:gridSpan w:val="8"/>
          </w:tcPr>
          <w:p w:rsidR="00837C5A" w:rsidRDefault="00837C5A" w:rsidP="007051CE">
            <w:pPr>
              <w:ind w:right="-5"/>
              <w:jc w:val="both"/>
              <w:rPr>
                <w:rStyle w:val="FontStyle74"/>
                <w:rFonts w:cs="Times New Roman"/>
                <w:sz w:val="22"/>
                <w:lang w:eastAsia="ru-RU"/>
              </w:rPr>
            </w:pPr>
            <w:r w:rsidRPr="0031224F">
              <w:rPr>
                <w:rFonts w:ascii="Times New Roman" w:eastAsia="TimesNewRomanPS-BoldMT" w:hAnsi="Times New Roman" w:cs="Times New Roman"/>
                <w:b/>
                <w:bCs/>
              </w:rPr>
              <w:t>Знания:</w:t>
            </w:r>
            <w:r w:rsidRPr="00DB4482">
              <w:rPr>
                <w:rFonts w:eastAsia="TimesNewRomanPS-BoldMT"/>
                <w:b/>
                <w:bCs/>
              </w:rPr>
              <w:t xml:space="preserve"> </w:t>
            </w:r>
            <w:r w:rsidRPr="007051CE">
              <w:rPr>
                <w:rStyle w:val="FontStyle74"/>
                <w:rFonts w:cs="Times New Roman"/>
                <w:sz w:val="22"/>
                <w:lang w:eastAsia="ru-RU"/>
              </w:rPr>
              <w:t>законодательные и нормативные правовые акты, методические материалы по метрологии, стандартизации, сертификации и управлению качеством; система государственного надзора и контроля, межведомственного контроля за  качеством продукции, стандартами, техническими регламентами и единством измерений; основные закономерности измерений, влияние качества измерений на качество конечных результатов метрологической деятельности, методов и средств обеспечения единства измерений; методы и средства контроля качества продукции, организацию и технологию стандартизации и сертификации продукции, правила проведения контроля, испытаний и приемки продукции; организация и техническая база метрологического обеспечения предприятия, правила проведения метрологической экспертизы, метода и средства поверки (калибровки) средств измерений, методики выполнения измерений;  перспективы технического развития и особенности деятельности организаций, компетентных на законодательно-правовой основе в области технического регулирования и метрологии;  физические основы измерений, система воспроизведения единиц физических величин и передачи размера средствами измерений; способы оценки точности (неопределенности) измерений и испытаний и достоверности контроля; способы анализа качества продукции, организацию контроля качества и управления технологическими процессами; принципы нормирования точности и обеспечения взаимозаменяемости деталей и сборочных единиц; порядок разработки, утверждения и внедрения стандартов, технических условий и другой нормативно-технической документации; системы качества, порядок их разработки, сертификации, внедрения и проведения аудитов.</w:t>
            </w:r>
          </w:p>
          <w:p w:rsidR="00837C5A" w:rsidRPr="007051CE" w:rsidRDefault="00837C5A" w:rsidP="007051CE">
            <w:pPr>
              <w:ind w:right="-5"/>
              <w:jc w:val="both"/>
              <w:rPr>
                <w:rFonts w:ascii="Times New Roman" w:eastAsia="TimesNewRomanPS-BoldMT" w:hAnsi="Times New Roman"/>
                <w:b/>
                <w:bCs/>
                <w:color w:val="000000"/>
              </w:rPr>
            </w:pPr>
            <w:r w:rsidRPr="007051CE">
              <w:rPr>
                <w:rFonts w:ascii="Times New Roman" w:eastAsia="TimesNewRomanPS-BoldMT" w:hAnsi="Times New Roman" w:cs="Times New Roman"/>
                <w:b/>
                <w:bCs/>
                <w:color w:val="000000"/>
              </w:rPr>
              <w:t xml:space="preserve">Применение: </w:t>
            </w:r>
            <w:r w:rsidRPr="007051CE">
              <w:rPr>
                <w:rFonts w:ascii="Times New Roman" w:hAnsi="Times New Roman" w:cs="Times New Roman"/>
              </w:rPr>
              <w:t>контрольно-измерительная техника для контроля качества продукции и метрологического обеспечения продукции и технологических процессов ее изготовления;  компьютерные технологии для планирования и проведения работ по метрологии, стандартизации и сертификации, методы унификации и симплификации, расчета параметрических рядов при разработке стандартов и другой нормативно-технической документации; методы контроля качества продукции и процессов при выполнении работ по сертификации продукции и систем качества; методы анализа данных о качестве продукции и способы анализа причин брака;  технологии разработки и аттестации методик выполнения измерений, испытаний и контроля;  методы и средства поверки (калибровки) и юстировки средств измерений, правила проведения метрологической и нормативной экспертизы документации; методы расчета экономической эффективности работ по метрологии, стандартизации и сертификации.</w:t>
            </w:r>
          </w:p>
          <w:p w:rsidR="00837C5A" w:rsidRPr="007051CE" w:rsidRDefault="00837C5A" w:rsidP="00DB4482">
            <w:pPr>
              <w:autoSpaceDE w:val="0"/>
              <w:autoSpaceDN w:val="0"/>
              <w:adjustRightInd w:val="0"/>
              <w:spacing w:after="0" w:line="240" w:lineRule="auto"/>
              <w:jc w:val="both"/>
              <w:rPr>
                <w:rStyle w:val="FontStyle74"/>
                <w:rFonts w:cs="Times New Roman"/>
                <w:sz w:val="22"/>
              </w:rPr>
            </w:pPr>
            <w:r w:rsidRPr="0031224F">
              <w:rPr>
                <w:rFonts w:ascii="Times New Roman" w:eastAsia="TimesNewRomanPS-BoldMT" w:hAnsi="Times New Roman" w:cs="Times New Roman"/>
                <w:b/>
                <w:bCs/>
              </w:rPr>
              <w:t>В</w:t>
            </w:r>
            <w:r w:rsidRPr="007051CE">
              <w:rPr>
                <w:rFonts w:ascii="Times New Roman" w:eastAsia="TimesNewRomanPS-BoldMT" w:hAnsi="Times New Roman" w:cs="Times New Roman"/>
                <w:b/>
                <w:bCs/>
                <w:color w:val="000000"/>
              </w:rPr>
              <w:t>ладен</w:t>
            </w:r>
            <w:r w:rsidRPr="0031224F">
              <w:rPr>
                <w:rFonts w:ascii="Times New Roman" w:eastAsia="TimesNewRomanPS-BoldMT" w:hAnsi="Times New Roman" w:cs="Times New Roman"/>
                <w:b/>
                <w:bCs/>
              </w:rPr>
              <w:t>ие:</w:t>
            </w:r>
            <w:r w:rsidRPr="00DB4482">
              <w:rPr>
                <w:rFonts w:eastAsia="TimesNewRomanPS-BoldMT"/>
              </w:rPr>
              <w:t xml:space="preserve"> </w:t>
            </w:r>
            <w:r w:rsidRPr="007051CE">
              <w:rPr>
                <w:rFonts w:ascii="Times New Roman" w:hAnsi="Times New Roman" w:cs="Times New Roman"/>
              </w:rPr>
              <w:t>навыки оформления проектной и конструкторской документации в соответствии с требованиями Единой системы конструкторской документации; навыки работы на контрольно-измерительном и испытательном оборудовании; навыки обработки экспериментальных данных и оценки точности (неопределенности) измерений, испытаний и достоверности контроля; навыки оформления результатов исследований и принятия соответствующих решений.</w:t>
            </w:r>
          </w:p>
        </w:tc>
      </w:tr>
      <w:tr w:rsidR="00837C5A" w:rsidRPr="00DB4482">
        <w:tc>
          <w:tcPr>
            <w:tcW w:w="9653" w:type="dxa"/>
            <w:gridSpan w:val="8"/>
            <w:shd w:val="clear" w:color="auto" w:fill="404040"/>
          </w:tcPr>
          <w:p w:rsidR="00837C5A" w:rsidRPr="00DB4482" w:rsidRDefault="00837C5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Взаимосвязь дисциплины с профессиональной деятельностью выпускника</w:t>
            </w:r>
          </w:p>
        </w:tc>
      </w:tr>
      <w:tr w:rsidR="00837C5A" w:rsidRPr="00DB4482">
        <w:tc>
          <w:tcPr>
            <w:tcW w:w="9653" w:type="dxa"/>
            <w:gridSpan w:val="8"/>
          </w:tcPr>
          <w:p w:rsidR="00837C5A" w:rsidRPr="00E14B8F" w:rsidRDefault="00837C5A" w:rsidP="00DB4482">
            <w:pPr>
              <w:spacing w:after="0" w:line="240" w:lineRule="auto"/>
              <w:jc w:val="both"/>
              <w:rPr>
                <w:rFonts w:ascii="Times New Roman" w:hAnsi="Times New Roman" w:cs="Times New Roman"/>
                <w:highlight w:val="yellow"/>
              </w:rPr>
            </w:pPr>
            <w:r w:rsidRPr="00E14B8F">
              <w:rPr>
                <w:rFonts w:ascii="Times New Roman" w:hAnsi="Times New Roman" w:cs="Times New Roman"/>
              </w:rPr>
              <w:t xml:space="preserve">Дает </w:t>
            </w:r>
            <w:r>
              <w:rPr>
                <w:rFonts w:ascii="Times New Roman" w:hAnsi="Times New Roman" w:cs="Times New Roman"/>
              </w:rPr>
              <w:t>представление о способах и методах проведения измерений технологических параметров, автоматизации измерений, точности измерений и вероятностных оценках</w:t>
            </w:r>
            <w:r>
              <w:rPr>
                <w:rStyle w:val="FontStyle157"/>
                <w:rFonts w:cs="Times New Roman"/>
                <w:i w:val="0"/>
                <w:sz w:val="22"/>
              </w:rPr>
              <w:t xml:space="preserve"> погрешности измерений, </w:t>
            </w:r>
            <w:r w:rsidRPr="00DC4BA9">
              <w:rPr>
                <w:rStyle w:val="FontStyle157"/>
                <w:rFonts w:cs="Times New Roman"/>
                <w:i w:val="0"/>
                <w:sz w:val="22"/>
              </w:rPr>
              <w:t xml:space="preserve"> основ</w:t>
            </w:r>
            <w:r>
              <w:rPr>
                <w:rStyle w:val="FontStyle157"/>
                <w:rFonts w:cs="Times New Roman"/>
                <w:i w:val="0"/>
                <w:sz w:val="22"/>
              </w:rPr>
              <w:t>ах</w:t>
            </w:r>
            <w:r w:rsidRPr="00DC4BA9">
              <w:rPr>
                <w:rStyle w:val="FontStyle157"/>
                <w:rFonts w:cs="Times New Roman"/>
                <w:i w:val="0"/>
                <w:sz w:val="22"/>
              </w:rPr>
              <w:t xml:space="preserve"> обеспечения единства измерений, </w:t>
            </w:r>
            <w:r>
              <w:rPr>
                <w:rStyle w:val="FontStyle157"/>
                <w:rFonts w:cs="Times New Roman"/>
                <w:i w:val="0"/>
                <w:sz w:val="22"/>
              </w:rPr>
              <w:t>стандартизации</w:t>
            </w:r>
            <w:r w:rsidRPr="00DC4BA9">
              <w:rPr>
                <w:rStyle w:val="FontStyle157"/>
                <w:rFonts w:cs="Times New Roman"/>
                <w:i w:val="0"/>
                <w:sz w:val="22"/>
              </w:rPr>
              <w:t xml:space="preserve"> и сертификаци</w:t>
            </w:r>
            <w:r>
              <w:rPr>
                <w:rStyle w:val="FontStyle157"/>
                <w:rFonts w:cs="Times New Roman"/>
                <w:i w:val="0"/>
                <w:sz w:val="22"/>
              </w:rPr>
              <w:t>и</w:t>
            </w:r>
            <w:r w:rsidRPr="00DC4BA9">
              <w:rPr>
                <w:rStyle w:val="FontStyle157"/>
                <w:rFonts w:cs="Times New Roman"/>
                <w:i w:val="0"/>
                <w:sz w:val="22"/>
              </w:rPr>
              <w:t>.</w:t>
            </w:r>
          </w:p>
        </w:tc>
      </w:tr>
      <w:tr w:rsidR="00837C5A" w:rsidRPr="00DB4482">
        <w:tc>
          <w:tcPr>
            <w:tcW w:w="9653" w:type="dxa"/>
            <w:gridSpan w:val="8"/>
            <w:shd w:val="clear" w:color="auto" w:fill="404040"/>
          </w:tcPr>
          <w:p w:rsidR="00837C5A" w:rsidRPr="00DB4482" w:rsidRDefault="00837C5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Ответственная кафедра</w:t>
            </w:r>
          </w:p>
        </w:tc>
      </w:tr>
      <w:tr w:rsidR="00837C5A" w:rsidRPr="00DB4482">
        <w:tc>
          <w:tcPr>
            <w:tcW w:w="9653" w:type="dxa"/>
            <w:gridSpan w:val="8"/>
          </w:tcPr>
          <w:p w:rsidR="00837C5A" w:rsidRPr="00DB4482" w:rsidRDefault="00837C5A" w:rsidP="00DB4482">
            <w:pPr>
              <w:spacing w:after="0" w:line="240" w:lineRule="auto"/>
              <w:rPr>
                <w:rFonts w:ascii="Times New Roman" w:hAnsi="Times New Roman" w:cs="Times New Roman"/>
              </w:rPr>
            </w:pPr>
            <w:r w:rsidRPr="00DB4482">
              <w:rPr>
                <w:rFonts w:ascii="Times New Roman" w:hAnsi="Times New Roman" w:cs="Times New Roman"/>
              </w:rPr>
              <w:t xml:space="preserve">Кафедра </w:t>
            </w:r>
            <w:r>
              <w:rPr>
                <w:rFonts w:ascii="Times New Roman" w:hAnsi="Times New Roman" w:cs="Times New Roman"/>
              </w:rPr>
              <w:t>технической кибернетики и автоматики</w:t>
            </w:r>
          </w:p>
        </w:tc>
      </w:tr>
      <w:tr w:rsidR="00837C5A" w:rsidRPr="00DB4482">
        <w:tc>
          <w:tcPr>
            <w:tcW w:w="6487" w:type="dxa"/>
            <w:gridSpan w:val="7"/>
            <w:shd w:val="clear" w:color="auto" w:fill="404040"/>
          </w:tcPr>
          <w:p w:rsidR="00837C5A" w:rsidRPr="00DB4482" w:rsidRDefault="00837C5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Составители</w:t>
            </w:r>
          </w:p>
        </w:tc>
        <w:tc>
          <w:tcPr>
            <w:tcW w:w="3166" w:type="dxa"/>
            <w:shd w:val="clear" w:color="auto" w:fill="404040"/>
          </w:tcPr>
          <w:p w:rsidR="00837C5A" w:rsidRPr="00DB4482" w:rsidRDefault="00837C5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Подписи</w:t>
            </w:r>
          </w:p>
        </w:tc>
      </w:tr>
      <w:tr w:rsidR="00837C5A" w:rsidRPr="00DB4482">
        <w:tc>
          <w:tcPr>
            <w:tcW w:w="6487" w:type="dxa"/>
            <w:gridSpan w:val="7"/>
          </w:tcPr>
          <w:p w:rsidR="00837C5A" w:rsidRPr="00DB4482" w:rsidRDefault="00837C5A" w:rsidP="00DB4482">
            <w:pPr>
              <w:spacing w:after="0" w:line="240" w:lineRule="auto"/>
              <w:jc w:val="right"/>
              <w:rPr>
                <w:rFonts w:ascii="Times New Roman" w:hAnsi="Times New Roman" w:cs="Times New Roman"/>
              </w:rPr>
            </w:pPr>
            <w:r>
              <w:rPr>
                <w:rFonts w:ascii="Times New Roman" w:hAnsi="Times New Roman" w:cs="Times New Roman"/>
              </w:rPr>
              <w:t>к.т.н., доцент Невиницын В.Ю., ст. преп.</w:t>
            </w:r>
            <w:r w:rsidRPr="00DB4482">
              <w:rPr>
                <w:rFonts w:ascii="Times New Roman" w:hAnsi="Times New Roman" w:cs="Times New Roman"/>
              </w:rPr>
              <w:t xml:space="preserve"> </w:t>
            </w:r>
            <w:r>
              <w:rPr>
                <w:rFonts w:ascii="Times New Roman" w:hAnsi="Times New Roman" w:cs="Times New Roman"/>
              </w:rPr>
              <w:t>Чешинский М.А.</w:t>
            </w:r>
          </w:p>
        </w:tc>
        <w:tc>
          <w:tcPr>
            <w:tcW w:w="3166" w:type="dxa"/>
          </w:tcPr>
          <w:p w:rsidR="00837C5A" w:rsidRPr="00DB4482" w:rsidRDefault="00837C5A" w:rsidP="00DB4482">
            <w:pPr>
              <w:spacing w:after="0" w:line="240" w:lineRule="auto"/>
              <w:rPr>
                <w:rFonts w:ascii="Times New Roman" w:hAnsi="Times New Roman" w:cs="Times New Roman"/>
              </w:rPr>
            </w:pPr>
          </w:p>
        </w:tc>
      </w:tr>
      <w:tr w:rsidR="00837C5A" w:rsidRPr="00DB4482">
        <w:tc>
          <w:tcPr>
            <w:tcW w:w="6487" w:type="dxa"/>
            <w:gridSpan w:val="7"/>
          </w:tcPr>
          <w:p w:rsidR="00837C5A" w:rsidRPr="00DB4482" w:rsidRDefault="00837C5A" w:rsidP="00DB4482">
            <w:pPr>
              <w:spacing w:after="0" w:line="240" w:lineRule="auto"/>
              <w:jc w:val="right"/>
              <w:rPr>
                <w:rFonts w:ascii="Times New Roman" w:hAnsi="Times New Roman" w:cs="Times New Roman"/>
              </w:rPr>
            </w:pPr>
            <w:r>
              <w:rPr>
                <w:rFonts w:ascii="Times New Roman" w:hAnsi="Times New Roman" w:cs="Times New Roman"/>
              </w:rPr>
              <w:t>Заведующий кафедрой, д.т</w:t>
            </w:r>
            <w:r w:rsidRPr="00DB4482">
              <w:rPr>
                <w:rFonts w:ascii="Times New Roman" w:hAnsi="Times New Roman" w:cs="Times New Roman"/>
              </w:rPr>
              <w:t xml:space="preserve">.н., профессор </w:t>
            </w:r>
            <w:r>
              <w:rPr>
                <w:rFonts w:ascii="Times New Roman" w:hAnsi="Times New Roman" w:cs="Times New Roman"/>
              </w:rPr>
              <w:t>Лабутин</w:t>
            </w:r>
            <w:r w:rsidRPr="00DB4482">
              <w:rPr>
                <w:rFonts w:ascii="Times New Roman" w:hAnsi="Times New Roman" w:cs="Times New Roman"/>
              </w:rPr>
              <w:t xml:space="preserve"> А.</w:t>
            </w:r>
            <w:r>
              <w:rPr>
                <w:rFonts w:ascii="Times New Roman" w:hAnsi="Times New Roman" w:cs="Times New Roman"/>
              </w:rPr>
              <w:t>Н</w:t>
            </w:r>
            <w:r w:rsidRPr="00DB4482">
              <w:rPr>
                <w:rFonts w:ascii="Times New Roman" w:hAnsi="Times New Roman" w:cs="Times New Roman"/>
              </w:rPr>
              <w:t>.</w:t>
            </w:r>
          </w:p>
        </w:tc>
        <w:tc>
          <w:tcPr>
            <w:tcW w:w="3166" w:type="dxa"/>
          </w:tcPr>
          <w:p w:rsidR="00837C5A" w:rsidRPr="00DB4482" w:rsidRDefault="00837C5A" w:rsidP="00DB4482">
            <w:pPr>
              <w:spacing w:after="0" w:line="240" w:lineRule="auto"/>
              <w:rPr>
                <w:rFonts w:ascii="Times New Roman" w:hAnsi="Times New Roman" w:cs="Times New Roman"/>
              </w:rPr>
            </w:pPr>
          </w:p>
        </w:tc>
      </w:tr>
      <w:tr w:rsidR="00837C5A" w:rsidRPr="00DB4482">
        <w:tc>
          <w:tcPr>
            <w:tcW w:w="6487" w:type="dxa"/>
            <w:gridSpan w:val="7"/>
            <w:shd w:val="pct60" w:color="auto" w:fill="auto"/>
          </w:tcPr>
          <w:p w:rsidR="00837C5A" w:rsidRPr="00DB4482" w:rsidRDefault="00837C5A" w:rsidP="00DB4482">
            <w:pPr>
              <w:spacing w:after="0" w:line="240" w:lineRule="auto"/>
              <w:jc w:val="right"/>
              <w:rPr>
                <w:rFonts w:ascii="Times New Roman" w:hAnsi="Times New Roman" w:cs="Times New Roman"/>
                <w:b/>
                <w:bCs/>
              </w:rPr>
            </w:pPr>
            <w:r w:rsidRPr="00DB4482">
              <w:rPr>
                <w:rFonts w:ascii="Times New Roman" w:hAnsi="Times New Roman" w:cs="Times New Roman"/>
                <w:b/>
                <w:bCs/>
                <w:color w:val="FFFFFF"/>
              </w:rPr>
              <w:t>Дата</w:t>
            </w:r>
          </w:p>
        </w:tc>
        <w:tc>
          <w:tcPr>
            <w:tcW w:w="3166" w:type="dxa"/>
          </w:tcPr>
          <w:p w:rsidR="00837C5A" w:rsidRPr="00DB4482" w:rsidRDefault="00837C5A" w:rsidP="00DB4482">
            <w:pPr>
              <w:spacing w:after="0" w:line="240" w:lineRule="auto"/>
              <w:rPr>
                <w:rFonts w:ascii="Times New Roman" w:hAnsi="Times New Roman" w:cs="Times New Roman"/>
              </w:rPr>
            </w:pPr>
          </w:p>
        </w:tc>
      </w:tr>
    </w:tbl>
    <w:p w:rsidR="00837C5A" w:rsidRDefault="00837C5A" w:rsidP="00EC3128"/>
    <w:sectPr w:rsidR="00837C5A" w:rsidSect="005F26C1">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5A" w:rsidRDefault="00837C5A" w:rsidP="0009351E">
      <w:pPr>
        <w:spacing w:after="0" w:line="240" w:lineRule="auto"/>
      </w:pPr>
      <w:r>
        <w:separator/>
      </w:r>
    </w:p>
  </w:endnote>
  <w:endnote w:type="continuationSeparator" w:id="0">
    <w:p w:rsidR="00837C5A" w:rsidRDefault="00837C5A"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5A" w:rsidRDefault="00837C5A" w:rsidP="0009351E">
      <w:pPr>
        <w:spacing w:after="0" w:line="240" w:lineRule="auto"/>
      </w:pPr>
      <w:r>
        <w:separator/>
      </w:r>
    </w:p>
  </w:footnote>
  <w:footnote w:type="continuationSeparator" w:id="0">
    <w:p w:rsidR="00837C5A" w:rsidRDefault="00837C5A"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5A" w:rsidRDefault="00837C5A" w:rsidP="00210DB5">
    <w:pPr>
      <w:pStyle w:val="Header"/>
      <w:jc w:val="right"/>
      <w:rPr>
        <w:rFonts w:ascii="Times New Roman" w:hAnsi="Times New Roman" w:cs="Times New Roman"/>
        <w:color w:val="000000"/>
        <w:sz w:val="20"/>
        <w:szCs w:val="20"/>
      </w:rPr>
    </w:pPr>
    <w:r w:rsidRPr="000D3ED8">
      <w:rPr>
        <w:rFonts w:ascii="Times New Roman" w:hAnsi="Times New Roman" w:cs="Times New Roman"/>
        <w:color w:val="000000"/>
        <w:sz w:val="20"/>
        <w:szCs w:val="20"/>
      </w:rPr>
      <w:t>АННОТАЦИИ ДИСЦИПЛИН ООП ПОДГОТО</w:t>
    </w:r>
    <w:r>
      <w:rPr>
        <w:rFonts w:ascii="Times New Roman" w:hAnsi="Times New Roman" w:cs="Times New Roman"/>
        <w:color w:val="000000"/>
        <w:sz w:val="20"/>
        <w:szCs w:val="20"/>
      </w:rPr>
      <w:t xml:space="preserve">ВКИ БАКАЛАВРОВ ПО НАПРАВЛЕНИЮ </w:t>
    </w:r>
    <w:r w:rsidRPr="00191E9B">
      <w:rPr>
        <w:rFonts w:ascii="Times New Roman" w:hAnsi="Times New Roman" w:cs="Times New Roman"/>
        <w:color w:val="000000"/>
        <w:sz w:val="20"/>
        <w:szCs w:val="20"/>
      </w:rPr>
      <w:t>27</w:t>
    </w:r>
    <w:r w:rsidRPr="00511943">
      <w:rPr>
        <w:rFonts w:ascii="Times New Roman" w:hAnsi="Times New Roman" w:cs="Times New Roman"/>
        <w:color w:val="000000"/>
        <w:sz w:val="20"/>
        <w:szCs w:val="20"/>
      </w:rPr>
      <w:t>.</w:t>
    </w:r>
    <w:r>
      <w:rPr>
        <w:rFonts w:ascii="Times New Roman" w:hAnsi="Times New Roman" w:cs="Times New Roman"/>
        <w:color w:val="000000"/>
        <w:sz w:val="20"/>
        <w:szCs w:val="20"/>
      </w:rPr>
      <w:t>0</w:t>
    </w:r>
    <w:r w:rsidRPr="009A7010">
      <w:rPr>
        <w:rFonts w:ascii="Times New Roman" w:hAnsi="Times New Roman" w:cs="Times New Roman"/>
        <w:color w:val="000000"/>
        <w:sz w:val="20"/>
        <w:szCs w:val="20"/>
      </w:rPr>
      <w:t>3</w:t>
    </w:r>
    <w:r w:rsidRPr="00511943">
      <w:rPr>
        <w:rFonts w:ascii="Times New Roman" w:hAnsi="Times New Roman" w:cs="Times New Roman"/>
        <w:color w:val="000000"/>
        <w:sz w:val="20"/>
        <w:szCs w:val="20"/>
      </w:rPr>
      <w:t>.</w:t>
    </w:r>
    <w:r w:rsidRPr="000D3ED8">
      <w:rPr>
        <w:rFonts w:ascii="Times New Roman" w:hAnsi="Times New Roman" w:cs="Times New Roman"/>
        <w:color w:val="000000"/>
        <w:sz w:val="20"/>
        <w:szCs w:val="20"/>
      </w:rPr>
      <w:t>0</w:t>
    </w:r>
    <w:r w:rsidRPr="009A7010">
      <w:rPr>
        <w:rFonts w:ascii="Times New Roman" w:hAnsi="Times New Roman" w:cs="Times New Roman"/>
        <w:color w:val="000000"/>
        <w:sz w:val="20"/>
        <w:szCs w:val="20"/>
      </w:rPr>
      <w:t>4</w:t>
    </w:r>
    <w:r w:rsidRPr="000D3ED8">
      <w:rPr>
        <w:rFonts w:ascii="Times New Roman" w:hAnsi="Times New Roman" w:cs="Times New Roman"/>
        <w:color w:val="000000"/>
        <w:sz w:val="20"/>
        <w:szCs w:val="20"/>
      </w:rPr>
      <w:t xml:space="preserve"> У</w:t>
    </w:r>
    <w:r>
      <w:rPr>
        <w:rFonts w:ascii="Times New Roman" w:hAnsi="Times New Roman" w:cs="Times New Roman"/>
        <w:color w:val="000000"/>
        <w:sz w:val="20"/>
        <w:szCs w:val="20"/>
      </w:rPr>
      <w:t>ПРАВЛЕНИЕ В ТЕХНИЧЕСКИХ СИСТЕМАХ</w:t>
    </w:r>
    <w:r w:rsidRPr="000D3ED8">
      <w:rPr>
        <w:rFonts w:ascii="Times New Roman" w:hAnsi="Times New Roman" w:cs="Times New Roman"/>
        <w:color w:val="000000"/>
        <w:sz w:val="20"/>
        <w:szCs w:val="20"/>
      </w:rPr>
      <w:t>,</w:t>
    </w:r>
  </w:p>
  <w:p w:rsidR="00837C5A" w:rsidRPr="000D3ED8" w:rsidRDefault="00837C5A" w:rsidP="00210DB5">
    <w:pPr>
      <w:pStyle w:val="Header"/>
      <w:jc w:val="right"/>
      <w:rPr>
        <w:rFonts w:ascii="Times New Roman" w:hAnsi="Times New Roman" w:cs="Times New Roman"/>
        <w:color w:val="000000"/>
        <w:sz w:val="20"/>
        <w:szCs w:val="20"/>
      </w:rPr>
    </w:pPr>
    <w:r w:rsidRPr="000D3ED8">
      <w:rPr>
        <w:rFonts w:ascii="Times New Roman" w:hAnsi="Times New Roman" w:cs="Times New Roman"/>
        <w:color w:val="000000"/>
        <w:sz w:val="20"/>
        <w:szCs w:val="20"/>
      </w:rPr>
      <w:t xml:space="preserve"> ПРОФИЛЬ «СИСТЕМЫ И СРЕДСТВА АВТОМАТИЗАЦИИ ТЕХНОЛОГИЧЕСКИХ ПРОЦЕССОВ»</w:t>
    </w:r>
  </w:p>
  <w:p w:rsidR="00837C5A" w:rsidRDefault="00837C5A" w:rsidP="00210DB5">
    <w:pPr>
      <w:pStyle w:val="Header"/>
      <w:jc w:val="right"/>
      <w:rPr>
        <w:rFonts w:ascii="Times New Roman" w:hAnsi="Times New Roman" w:cs="Times New Roman"/>
        <w:sz w:val="20"/>
        <w:szCs w:val="20"/>
      </w:rPr>
    </w:pPr>
    <w:r>
      <w:rPr>
        <w:rFonts w:ascii="Times New Roman" w:hAnsi="Times New Roman" w:cs="Times New Roman"/>
        <w:sz w:val="20"/>
        <w:szCs w:val="20"/>
      </w:rPr>
      <w:t>ФОРМА ОБУЧЕНИЯ – ОЧНАЯ</w:t>
    </w:r>
  </w:p>
  <w:p w:rsidR="00837C5A" w:rsidRPr="0009351E" w:rsidRDefault="00837C5A" w:rsidP="00210DB5">
    <w:pPr>
      <w:pStyle w:val="Header"/>
      <w:jc w:val="right"/>
      <w:rPr>
        <w:rFonts w:ascii="Times New Roman" w:hAnsi="Times New Roman" w:cs="Times New Roman"/>
        <w:sz w:val="20"/>
        <w:szCs w:val="20"/>
      </w:rPr>
    </w:pPr>
    <w:r>
      <w:rPr>
        <w:rFonts w:ascii="Times New Roman" w:hAnsi="Times New Roman" w:cs="Times New Roman"/>
        <w:sz w:val="20"/>
        <w:szCs w:val="20"/>
      </w:rPr>
      <w:t>СРОК ОСВОЕНИЯ ООП – 4 ГОДА</w:t>
    </w:r>
  </w:p>
  <w:p w:rsidR="00837C5A" w:rsidRPr="00210DB5" w:rsidRDefault="00837C5A" w:rsidP="00210D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221E8"/>
    <w:multiLevelType w:val="hybridMultilevel"/>
    <w:tmpl w:val="11C868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51E"/>
    <w:rsid w:val="00025DE7"/>
    <w:rsid w:val="00032ECB"/>
    <w:rsid w:val="0009351E"/>
    <w:rsid w:val="000D3ED8"/>
    <w:rsid w:val="000D770F"/>
    <w:rsid w:val="001103DB"/>
    <w:rsid w:val="0011151A"/>
    <w:rsid w:val="00144A1B"/>
    <w:rsid w:val="00191E9B"/>
    <w:rsid w:val="001D4F0A"/>
    <w:rsid w:val="002042C9"/>
    <w:rsid w:val="002062ED"/>
    <w:rsid w:val="00210DB5"/>
    <w:rsid w:val="002217E0"/>
    <w:rsid w:val="00267945"/>
    <w:rsid w:val="002A05F8"/>
    <w:rsid w:val="002F14BE"/>
    <w:rsid w:val="00305D54"/>
    <w:rsid w:val="0031224F"/>
    <w:rsid w:val="00393592"/>
    <w:rsid w:val="003D1F60"/>
    <w:rsid w:val="0041610F"/>
    <w:rsid w:val="004178F2"/>
    <w:rsid w:val="00424CC8"/>
    <w:rsid w:val="00464014"/>
    <w:rsid w:val="004A3CE2"/>
    <w:rsid w:val="00511943"/>
    <w:rsid w:val="005246BC"/>
    <w:rsid w:val="005435A0"/>
    <w:rsid w:val="0057065D"/>
    <w:rsid w:val="005753C9"/>
    <w:rsid w:val="005F26C1"/>
    <w:rsid w:val="00604674"/>
    <w:rsid w:val="00686831"/>
    <w:rsid w:val="007051CE"/>
    <w:rsid w:val="00711AE2"/>
    <w:rsid w:val="0074257B"/>
    <w:rsid w:val="007B0765"/>
    <w:rsid w:val="007D31B1"/>
    <w:rsid w:val="007F74E1"/>
    <w:rsid w:val="00837C5A"/>
    <w:rsid w:val="00843FCF"/>
    <w:rsid w:val="00906A6B"/>
    <w:rsid w:val="00910E79"/>
    <w:rsid w:val="00926D07"/>
    <w:rsid w:val="00963CD9"/>
    <w:rsid w:val="009A7010"/>
    <w:rsid w:val="009B19D2"/>
    <w:rsid w:val="009C4632"/>
    <w:rsid w:val="009D5045"/>
    <w:rsid w:val="009E4456"/>
    <w:rsid w:val="00A03349"/>
    <w:rsid w:val="00A130E0"/>
    <w:rsid w:val="00A47541"/>
    <w:rsid w:val="00A53612"/>
    <w:rsid w:val="00AB0562"/>
    <w:rsid w:val="00AF7C98"/>
    <w:rsid w:val="00B12586"/>
    <w:rsid w:val="00B22019"/>
    <w:rsid w:val="00B22A36"/>
    <w:rsid w:val="00B3423A"/>
    <w:rsid w:val="00B92756"/>
    <w:rsid w:val="00BD6D57"/>
    <w:rsid w:val="00BE4F6E"/>
    <w:rsid w:val="00C602DC"/>
    <w:rsid w:val="00C623C1"/>
    <w:rsid w:val="00C73866"/>
    <w:rsid w:val="00C7744B"/>
    <w:rsid w:val="00C91EA5"/>
    <w:rsid w:val="00CB1E47"/>
    <w:rsid w:val="00CC474E"/>
    <w:rsid w:val="00CD5C9B"/>
    <w:rsid w:val="00D062D2"/>
    <w:rsid w:val="00D23F73"/>
    <w:rsid w:val="00D404B9"/>
    <w:rsid w:val="00D920E9"/>
    <w:rsid w:val="00DA5120"/>
    <w:rsid w:val="00DB4482"/>
    <w:rsid w:val="00DC4BA9"/>
    <w:rsid w:val="00DC4D66"/>
    <w:rsid w:val="00DD0E93"/>
    <w:rsid w:val="00DE4BE9"/>
    <w:rsid w:val="00DF41F7"/>
    <w:rsid w:val="00E14B8F"/>
    <w:rsid w:val="00E21F59"/>
    <w:rsid w:val="00E70529"/>
    <w:rsid w:val="00EA32EB"/>
    <w:rsid w:val="00EC3128"/>
    <w:rsid w:val="00EE2969"/>
    <w:rsid w:val="00F01454"/>
    <w:rsid w:val="00F31084"/>
    <w:rsid w:val="00F74E6B"/>
    <w:rsid w:val="00FB6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351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9351E"/>
    <w:rPr>
      <w:rFonts w:cs="Times New Roman"/>
    </w:rPr>
  </w:style>
  <w:style w:type="paragraph" w:styleId="Footer">
    <w:name w:val="footer"/>
    <w:basedOn w:val="Normal"/>
    <w:link w:val="FooterChar"/>
    <w:uiPriority w:val="99"/>
    <w:rsid w:val="0009351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9351E"/>
    <w:rPr>
      <w:rFonts w:cs="Times New Roman"/>
    </w:rPr>
  </w:style>
  <w:style w:type="table" w:styleId="TableGrid">
    <w:name w:val="Table Grid"/>
    <w:basedOn w:val="TableNormal"/>
    <w:uiPriority w:val="99"/>
    <w:rsid w:val="00E21F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Normal"/>
    <w:uiPriority w:val="99"/>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5F26C1"/>
    <w:rPr>
      <w:rFonts w:ascii="Times New Roman" w:hAnsi="Times New Roman"/>
      <w:sz w:val="26"/>
    </w:rPr>
  </w:style>
  <w:style w:type="character" w:customStyle="1" w:styleId="FontStyle157">
    <w:name w:val="Font Style157"/>
    <w:uiPriority w:val="99"/>
    <w:rsid w:val="0074257B"/>
    <w:rPr>
      <w:rFonts w:ascii="Times New Roman" w:hAnsi="Times New Roman"/>
      <w:i/>
      <w:sz w:val="16"/>
    </w:rPr>
  </w:style>
  <w:style w:type="paragraph" w:customStyle="1" w:styleId="Style13">
    <w:name w:val="Style13"/>
    <w:basedOn w:val="Normal"/>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Default">
    <w:name w:val="Default"/>
    <w:uiPriority w:val="99"/>
    <w:rsid w:val="009D5045"/>
    <w:pPr>
      <w:autoSpaceDE w:val="0"/>
      <w:autoSpaceDN w:val="0"/>
      <w:adjustRightInd w:val="0"/>
    </w:pPr>
    <w:rPr>
      <w:rFonts w:cs="Calibri"/>
      <w:color w:val="000000"/>
      <w:sz w:val="24"/>
      <w:szCs w:val="24"/>
    </w:rPr>
  </w:style>
  <w:style w:type="character" w:customStyle="1" w:styleId="FontStyle153">
    <w:name w:val="Font Style153"/>
    <w:uiPriority w:val="99"/>
    <w:rsid w:val="00DC4BA9"/>
    <w:rPr>
      <w:rFonts w:ascii="Times New Roman" w:hAnsi="Times New Roman"/>
      <w:b/>
      <w:sz w:val="16"/>
    </w:rPr>
  </w:style>
  <w:style w:type="paragraph" w:customStyle="1" w:styleId="Style15">
    <w:name w:val="Style15"/>
    <w:basedOn w:val="Normal"/>
    <w:uiPriority w:val="99"/>
    <w:rsid w:val="00DC4BA9"/>
    <w:pPr>
      <w:widowControl w:val="0"/>
      <w:suppressAutoHyphens/>
      <w:spacing w:after="0" w:line="240" w:lineRule="auto"/>
    </w:pPr>
    <w:rPr>
      <w:kern w:val="1"/>
      <w:sz w:val="24"/>
      <w:szCs w:val="24"/>
      <w:lang w:eastAsia="ar-SA"/>
    </w:rPr>
  </w:style>
  <w:style w:type="character" w:customStyle="1" w:styleId="FontStyle155">
    <w:name w:val="Font Style155"/>
    <w:uiPriority w:val="99"/>
    <w:rsid w:val="009B19D2"/>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Pages>
  <Words>1388</Words>
  <Characters>7912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2015-02-25T08:45:00Z</dcterms:created>
  <dcterms:modified xsi:type="dcterms:W3CDTF">2015-03-03T10:08:00Z</dcterms:modified>
</cp:coreProperties>
</file>