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1C49B1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ЭЛЕКТРОХИМИЯ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1C49B1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1C49B1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1C49B1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ЗЕ, 180 ч (85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</w:t>
            </w:r>
            <w:r w:rsidR="00293BFF">
              <w:rPr>
                <w:rFonts w:ascii="Times New Roman" w:hAnsi="Times New Roman" w:cs="Times New Roman"/>
              </w:rPr>
              <w:t xml:space="preserve">овательский практикум, конференции, </w:t>
            </w:r>
            <w:r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5D35EB" w:rsidRDefault="005D35EB" w:rsidP="00F415CD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35EB">
              <w:rPr>
                <w:rStyle w:val="FontStyle155"/>
                <w:rFonts w:cs="Times New Roman"/>
                <w:sz w:val="24"/>
                <w:szCs w:val="24"/>
              </w:rPr>
              <w:t>Ф</w:t>
            </w:r>
            <w:r w:rsidR="00C737E5" w:rsidRPr="005D35EB">
              <w:rPr>
                <w:rStyle w:val="FontStyle155"/>
                <w:rFonts w:cs="Times New Roman"/>
                <w:sz w:val="24"/>
                <w:szCs w:val="24"/>
              </w:rPr>
              <w:t xml:space="preserve">ормирование представлений об электрохимических системах и их составных частях, </w:t>
            </w:r>
            <w:r w:rsidR="00C737E5" w:rsidRPr="005D35E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получение необходимых знаний об электрохимических процессах и методах изучения их механизма, формирование навыков управления электрохимическими процессами. Без знания теоретической электрохимии невозможны сознательные и эффективные подходы к разработке и организации технологических процессов нанесения покрытий.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D35EB" w:rsidRPr="005D35EB" w:rsidRDefault="005D35EB" w:rsidP="00464014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Style w:val="FontStyle157"/>
                <w:i w:val="0"/>
                <w:iCs/>
                <w:sz w:val="24"/>
              </w:rPr>
              <w:t xml:space="preserve">Дисциплина относится к дисциплинам вариативной части  </w:t>
            </w:r>
            <w:proofErr w:type="spellStart"/>
            <w:proofErr w:type="gramStart"/>
            <w:r>
              <w:rPr>
                <w:rStyle w:val="FontStyle157"/>
                <w:i w:val="0"/>
                <w:iCs/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цикла, базируется на результатах изучения  базовых дисциплин </w:t>
            </w:r>
            <w:proofErr w:type="spellStart"/>
            <w:r>
              <w:rPr>
                <w:rStyle w:val="FontStyle157"/>
                <w:i w:val="0"/>
                <w:iCs/>
                <w:sz w:val="24"/>
              </w:rPr>
              <w:t>естественно-научного</w:t>
            </w:r>
            <w:proofErr w:type="spellEnd"/>
            <w:r>
              <w:rPr>
                <w:rStyle w:val="FontStyle157"/>
                <w:i w:val="0"/>
                <w:iCs/>
                <w:sz w:val="24"/>
              </w:rPr>
              <w:t xml:space="preserve"> цикла, в том числе математики, физики, химических дисциплин.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7D31B1" w:rsidRDefault="007D31B1" w:rsidP="00262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323" w:rsidRPr="00262323" w:rsidRDefault="00262323" w:rsidP="00262323">
            <w:pPr>
              <w:pStyle w:val="3"/>
              <w:numPr>
                <w:ilvl w:val="0"/>
                <w:numId w:val="0"/>
              </w:numPr>
              <w:spacing w:before="0" w:after="0"/>
              <w:ind w:left="720" w:hanging="720"/>
              <w:jc w:val="both"/>
              <w:outlineLvl w:val="2"/>
              <w:rPr>
                <w:szCs w:val="24"/>
              </w:rPr>
            </w:pPr>
            <w:r w:rsidRPr="00262323">
              <w:rPr>
                <w:snapToGrid w:val="0"/>
                <w:szCs w:val="24"/>
              </w:rPr>
              <w:t xml:space="preserve">Модуль 1. </w:t>
            </w:r>
            <w:r w:rsidRPr="00262323">
              <w:rPr>
                <w:szCs w:val="24"/>
              </w:rPr>
              <w:t xml:space="preserve">Введение. </w:t>
            </w:r>
            <w:bookmarkStart w:id="0" w:name="_Toc505151887"/>
            <w:r w:rsidRPr="00262323">
              <w:rPr>
                <w:szCs w:val="24"/>
              </w:rPr>
              <w:t>Законы Фарадея</w:t>
            </w:r>
            <w:bookmarkEnd w:id="0"/>
          </w:p>
          <w:p w:rsidR="00262323" w:rsidRPr="00262323" w:rsidRDefault="00262323" w:rsidP="0026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содержание электрохимии. Задачи  курса. Роль электрохимии в современной науке и технике. Основные понятия. Классификация проводников и прохождение постоянного электрического тока через цепь, включающую проводники </w:t>
            </w:r>
            <w:r w:rsidRPr="0026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 рода. Катодные и анодные реакции. Основные типы электрохимических систем. Законы Фарадея. Число Фарадея. Выход по току. </w:t>
            </w:r>
            <w:proofErr w:type="spellStart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Кулонометры</w:t>
            </w:r>
            <w:proofErr w:type="spellEnd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323" w:rsidRPr="00262323" w:rsidRDefault="00262323" w:rsidP="00262323">
            <w:pPr>
              <w:pStyle w:val="3"/>
              <w:numPr>
                <w:ilvl w:val="0"/>
                <w:numId w:val="0"/>
              </w:numPr>
              <w:tabs>
                <w:tab w:val="num" w:pos="567"/>
              </w:tabs>
              <w:spacing w:before="0" w:after="0"/>
              <w:ind w:left="720" w:hanging="720"/>
              <w:jc w:val="both"/>
              <w:outlineLvl w:val="2"/>
              <w:rPr>
                <w:szCs w:val="24"/>
              </w:rPr>
            </w:pPr>
            <w:r w:rsidRPr="00262323">
              <w:rPr>
                <w:snapToGrid w:val="0"/>
                <w:szCs w:val="24"/>
              </w:rPr>
              <w:t xml:space="preserve">Модуль 2. </w:t>
            </w:r>
            <w:r w:rsidRPr="00262323">
              <w:rPr>
                <w:szCs w:val="24"/>
              </w:rPr>
              <w:t>Равновесия в растворах электролитов</w:t>
            </w:r>
          </w:p>
          <w:p w:rsidR="00262323" w:rsidRPr="00262323" w:rsidRDefault="00262323" w:rsidP="00262323">
            <w:pPr>
              <w:pStyle w:val="21"/>
              <w:spacing w:after="0" w:line="240" w:lineRule="auto"/>
              <w:ind w:left="0"/>
              <w:jc w:val="both"/>
            </w:pPr>
            <w:r w:rsidRPr="00262323">
              <w:t xml:space="preserve">Механизм образования растворов электролитов. Термодинамические свойства растворов электролитов. Активность и коэффициент активности. Теория электролитической диссоциации Аррениуса. Ионные равновесия в растворах электролитов. Теория </w:t>
            </w:r>
            <w:proofErr w:type="spellStart"/>
            <w:r w:rsidRPr="00262323">
              <w:t>Дебая-Гюккеля</w:t>
            </w:r>
            <w:proofErr w:type="spellEnd"/>
            <w:r w:rsidRPr="00262323">
              <w:t xml:space="preserve">: основные предпосылки и допущения, представление </w:t>
            </w:r>
            <w:proofErr w:type="gramStart"/>
            <w:r w:rsidRPr="00262323">
              <w:t>о</w:t>
            </w:r>
            <w:proofErr w:type="gramEnd"/>
            <w:r w:rsidRPr="00262323">
              <w:t xml:space="preserve"> ионной атмосфере, определение коэффициентов активности в теории </w:t>
            </w:r>
            <w:proofErr w:type="spellStart"/>
            <w:r w:rsidRPr="00262323">
              <w:t>Дебая-Гюккеля</w:t>
            </w:r>
            <w:proofErr w:type="spellEnd"/>
            <w:r w:rsidRPr="00262323">
              <w:t xml:space="preserve">. Границы ее применимости. Правило ионной силы. Ассоциация ионов в растворах. Теория </w:t>
            </w:r>
            <w:proofErr w:type="spellStart"/>
            <w:r w:rsidRPr="00262323">
              <w:t>Бьеррума</w:t>
            </w:r>
            <w:proofErr w:type="spellEnd"/>
            <w:r w:rsidRPr="00262323">
              <w:rPr>
                <w:snapToGrid w:val="0"/>
              </w:rPr>
              <w:t>.</w:t>
            </w:r>
          </w:p>
          <w:p w:rsidR="00262323" w:rsidRPr="00262323" w:rsidRDefault="00262323" w:rsidP="00262323">
            <w:pPr>
              <w:pStyle w:val="3"/>
              <w:numPr>
                <w:ilvl w:val="0"/>
                <w:numId w:val="0"/>
              </w:numPr>
              <w:tabs>
                <w:tab w:val="num" w:pos="567"/>
              </w:tabs>
              <w:spacing w:before="0" w:after="0"/>
              <w:ind w:left="720" w:hanging="720"/>
              <w:jc w:val="both"/>
              <w:outlineLvl w:val="2"/>
              <w:rPr>
                <w:szCs w:val="24"/>
              </w:rPr>
            </w:pPr>
            <w:r w:rsidRPr="00262323">
              <w:rPr>
                <w:szCs w:val="24"/>
              </w:rPr>
              <w:t>Модуль 3.</w:t>
            </w:r>
            <w:r w:rsidRPr="00262323">
              <w:rPr>
                <w:b w:val="0"/>
                <w:szCs w:val="24"/>
              </w:rPr>
              <w:t xml:space="preserve"> </w:t>
            </w:r>
            <w:r w:rsidRPr="00262323">
              <w:rPr>
                <w:szCs w:val="24"/>
              </w:rPr>
              <w:t>Неравновесные явления в растворах электролитов</w:t>
            </w:r>
          </w:p>
          <w:p w:rsidR="00262323" w:rsidRPr="00262323" w:rsidRDefault="00262323" w:rsidP="00262323">
            <w:pPr>
              <w:pStyle w:val="ab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и миграция ионов. </w:t>
            </w:r>
            <w:proofErr w:type="gramStart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Удельная</w:t>
            </w:r>
            <w:proofErr w:type="gramEnd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 и эквивалентные электропроводимости. Подвижности ионов. Аномальная подвижность ионов водорода и гидроксила.  Влияние </w:t>
            </w:r>
            <w:proofErr w:type="spellStart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межионного</w:t>
            </w:r>
            <w:proofErr w:type="spellEnd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на движение ионов. Теория </w:t>
            </w:r>
            <w:proofErr w:type="spellStart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Дебая-Гюккеля-Онзагера</w:t>
            </w:r>
            <w:proofErr w:type="spellEnd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. Числа переноса и методы их определения. Зависимость чисел переноса от состава электролита. Баланс катодного и анодного пространств электрохимической </w:t>
            </w:r>
            <w:proofErr w:type="spellStart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ячейки</w:t>
            </w:r>
            <w:proofErr w:type="gramStart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лектропроводность</w:t>
            </w:r>
            <w:proofErr w:type="spellEnd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 неводных растворов, расплавов и твердых электролитов</w:t>
            </w:r>
            <w:r w:rsidRPr="002623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262323" w:rsidRPr="00262323" w:rsidRDefault="00262323" w:rsidP="00262323">
            <w:pPr>
              <w:pStyle w:val="3"/>
              <w:numPr>
                <w:ilvl w:val="0"/>
                <w:numId w:val="0"/>
              </w:numPr>
              <w:tabs>
                <w:tab w:val="num" w:pos="567"/>
              </w:tabs>
              <w:spacing w:before="0" w:after="0"/>
              <w:ind w:left="720" w:hanging="720"/>
              <w:jc w:val="both"/>
              <w:outlineLvl w:val="2"/>
              <w:rPr>
                <w:szCs w:val="24"/>
              </w:rPr>
            </w:pPr>
            <w:r w:rsidRPr="00262323">
              <w:rPr>
                <w:szCs w:val="24"/>
              </w:rPr>
              <w:t>Модуль 4.</w:t>
            </w:r>
            <w:r w:rsidRPr="00262323">
              <w:rPr>
                <w:b w:val="0"/>
                <w:szCs w:val="24"/>
              </w:rPr>
              <w:t xml:space="preserve"> </w:t>
            </w:r>
            <w:r w:rsidRPr="00262323">
              <w:rPr>
                <w:szCs w:val="24"/>
              </w:rPr>
              <w:t>Термодинамика электрохимических систем</w:t>
            </w:r>
          </w:p>
          <w:p w:rsidR="00262323" w:rsidRPr="00262323" w:rsidRDefault="00262323" w:rsidP="00262323">
            <w:pPr>
              <w:pStyle w:val="ab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Электрохимический потенциал и электрохимическая свободная энергия Гиббса. Связь равновесной ЭДС электрохимической цепи с максимальной работой и изменением энергии </w:t>
            </w:r>
            <w:proofErr w:type="spellStart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Гиббса</w:t>
            </w:r>
            <w:proofErr w:type="gramStart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  <w:proofErr w:type="spellEnd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 Нернста и Гиббса-Гельмгольца. Водородная шкала электродных потенциалов. Стандартные потенциалы. Классификация электродов. Электроды сравнения.</w:t>
            </w:r>
          </w:p>
          <w:p w:rsidR="00262323" w:rsidRPr="00262323" w:rsidRDefault="00262323" w:rsidP="00262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Химические и концентрационные цепи. Применение концентрационных цепей для определения коэффициентов активности и чисел переноса. Диффузионный потенциал: его оценка и устранение.</w:t>
            </w:r>
          </w:p>
          <w:p w:rsidR="00262323" w:rsidRPr="00262323" w:rsidRDefault="00262323" w:rsidP="00262323">
            <w:pPr>
              <w:pStyle w:val="ab"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323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 w:rsidRPr="0026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Скачки потенциала на фазовых границах</w:t>
            </w:r>
          </w:p>
          <w:p w:rsidR="00262323" w:rsidRPr="00262323" w:rsidRDefault="00262323" w:rsidP="00262323">
            <w:pPr>
              <w:pStyle w:val="ab"/>
              <w:tabs>
                <w:tab w:val="left" w:pos="-19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Скачки потенциала на фазовых границах. Условия равновесия между контактирующими фазами. Уравнение Нернста для </w:t>
            </w:r>
            <w:proofErr w:type="spellStart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гальвани-потенциала</w:t>
            </w:r>
            <w:proofErr w:type="spellEnd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. Мембранное равновесие и мембранный потенциал. </w:t>
            </w:r>
            <w:proofErr w:type="spellStart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Ионселективные</w:t>
            </w:r>
            <w:proofErr w:type="spellEnd"/>
            <w:r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 и ферментные электроды.  Стеклянный электрод. </w:t>
            </w:r>
          </w:p>
          <w:p w:rsidR="00262323" w:rsidRPr="00262323" w:rsidRDefault="00262323" w:rsidP="00262323">
            <w:pPr>
              <w:pStyle w:val="ab"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6. Двойной электрический слой (ДЭС) на границе между электродом и </w:t>
            </w:r>
            <w:bookmarkStart w:id="1" w:name="_Toc505151894"/>
            <w:r w:rsidRPr="00262323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раствором электролита</w:t>
            </w:r>
            <w:bookmarkEnd w:id="1"/>
          </w:p>
          <w:p w:rsidR="00262323" w:rsidRPr="00262323" w:rsidRDefault="00262323" w:rsidP="00262323">
            <w:pPr>
              <w:pStyle w:val="ab"/>
              <w:tabs>
                <w:tab w:val="left" w:pos="-198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2323">
              <w:rPr>
                <w:rFonts w:ascii="Times New Roman" w:hAnsi="Times New Roman" w:cs="Times New Roman"/>
                <w:sz w:val="24"/>
                <w:szCs w:val="24"/>
              </w:rPr>
              <w:t>Механизм возникновения и природа ДЭС в электрохимических системах: возникновение ДЭС за счет переноса заряженных частиц через межфазную границу при установлении электрохимического равновесия. Ионный скачок потенциала; нулевые растворы и потенциал нулевого заряда; рациональная (приведенная) шкала электродных потенциалов.</w:t>
            </w:r>
            <w:r w:rsidRPr="002623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62323" w:rsidRPr="00262323" w:rsidRDefault="00262323" w:rsidP="00262323">
            <w:pPr>
              <w:pStyle w:val="ab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23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Неравновесные электродные процессы</w:t>
            </w:r>
          </w:p>
          <w:p w:rsidR="00262323" w:rsidRPr="00262323" w:rsidRDefault="00262323" w:rsidP="0026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Электродная поляризация и перенапряжение: знаки, методы определения. Многостадийная природа электрохимических процессов. Лимитирующая стадия. </w:t>
            </w:r>
          </w:p>
          <w:p w:rsidR="00262323" w:rsidRPr="00262323" w:rsidRDefault="00262323" w:rsidP="00262323">
            <w:pPr>
              <w:pStyle w:val="ad"/>
              <w:jc w:val="both"/>
              <w:rPr>
                <w:b/>
                <w:szCs w:val="24"/>
              </w:rPr>
            </w:pPr>
            <w:r w:rsidRPr="00262323">
              <w:rPr>
                <w:b/>
                <w:szCs w:val="24"/>
              </w:rPr>
              <w:t>Модуль 8. Электрохимическое перенапряжение</w:t>
            </w:r>
          </w:p>
          <w:p w:rsidR="00262323" w:rsidRPr="00262323" w:rsidRDefault="00262323" w:rsidP="00262323">
            <w:pPr>
              <w:pStyle w:val="ad"/>
              <w:jc w:val="both"/>
              <w:rPr>
                <w:szCs w:val="24"/>
              </w:rPr>
            </w:pPr>
            <w:r w:rsidRPr="00262323">
              <w:rPr>
                <w:szCs w:val="24"/>
              </w:rPr>
              <w:t xml:space="preserve">Основные уравнения теории замедленного разряда для простых реакций с одной электрохимической стадией: уравнение частной и полной поляризационной кривой. Коэффициенты переноса. Ток обмена. Уравнение </w:t>
            </w:r>
            <w:proofErr w:type="spellStart"/>
            <w:r w:rsidRPr="00262323">
              <w:rPr>
                <w:szCs w:val="24"/>
              </w:rPr>
              <w:t>Фольмера</w:t>
            </w:r>
            <w:proofErr w:type="spellEnd"/>
            <w:r w:rsidRPr="00262323">
              <w:rPr>
                <w:szCs w:val="24"/>
              </w:rPr>
              <w:t xml:space="preserve">. Частные случаи расчета электрохимического перенапряжения. Уравнение </w:t>
            </w:r>
            <w:proofErr w:type="spellStart"/>
            <w:r w:rsidRPr="00262323">
              <w:rPr>
                <w:szCs w:val="24"/>
              </w:rPr>
              <w:t>Тафеля</w:t>
            </w:r>
            <w:proofErr w:type="spellEnd"/>
            <w:r w:rsidRPr="00262323">
              <w:rPr>
                <w:szCs w:val="24"/>
              </w:rPr>
              <w:t>.</w:t>
            </w:r>
          </w:p>
          <w:p w:rsidR="00262323" w:rsidRPr="00262323" w:rsidRDefault="00262323" w:rsidP="00262323">
            <w:pPr>
              <w:pStyle w:val="ab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23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Диффузионная кинетика</w:t>
            </w:r>
          </w:p>
          <w:p w:rsidR="00262323" w:rsidRPr="00262323" w:rsidRDefault="00262323" w:rsidP="00262323">
            <w:pPr>
              <w:pStyle w:val="ad"/>
              <w:jc w:val="both"/>
              <w:rPr>
                <w:szCs w:val="24"/>
              </w:rPr>
            </w:pPr>
            <w:r w:rsidRPr="00262323">
              <w:rPr>
                <w:szCs w:val="24"/>
              </w:rPr>
              <w:t xml:space="preserve">Суммарный поток и его составляющие. Первый закон </w:t>
            </w:r>
            <w:proofErr w:type="spellStart"/>
            <w:r w:rsidRPr="00262323">
              <w:rPr>
                <w:szCs w:val="24"/>
              </w:rPr>
              <w:t>Фика</w:t>
            </w:r>
            <w:proofErr w:type="spellEnd"/>
            <w:r w:rsidRPr="00262323">
              <w:rPr>
                <w:szCs w:val="24"/>
              </w:rPr>
              <w:t xml:space="preserve"> и уравнение Нернста-Эйнштейна. Распределение концентрац</w:t>
            </w:r>
            <w:proofErr w:type="gramStart"/>
            <w:r w:rsidRPr="00262323">
              <w:rPr>
                <w:szCs w:val="24"/>
              </w:rPr>
              <w:t>ии ио</w:t>
            </w:r>
            <w:proofErr w:type="gramEnd"/>
            <w:r w:rsidRPr="00262323">
              <w:rPr>
                <w:szCs w:val="24"/>
              </w:rPr>
              <w:t xml:space="preserve">нов в </w:t>
            </w:r>
            <w:proofErr w:type="spellStart"/>
            <w:r w:rsidRPr="00262323">
              <w:rPr>
                <w:szCs w:val="24"/>
              </w:rPr>
              <w:t>приэлектродном</w:t>
            </w:r>
            <w:proofErr w:type="spellEnd"/>
            <w:r w:rsidRPr="00262323">
              <w:rPr>
                <w:szCs w:val="24"/>
              </w:rPr>
              <w:t xml:space="preserve"> слое раствора при стационарной диффузии. Эффективная толщина диффузионного слоя. Предельная плотность тока. Влияние состава раствора и гидродинамического режима на предельный ток. Вклад миграции в перенос </w:t>
            </w:r>
            <w:proofErr w:type="spellStart"/>
            <w:r w:rsidRPr="00262323">
              <w:rPr>
                <w:szCs w:val="24"/>
              </w:rPr>
              <w:t>ионов</w:t>
            </w:r>
            <w:proofErr w:type="gramStart"/>
            <w:r w:rsidRPr="00262323">
              <w:rPr>
                <w:szCs w:val="24"/>
              </w:rPr>
              <w:t>.П</w:t>
            </w:r>
            <w:proofErr w:type="gramEnd"/>
            <w:r w:rsidRPr="00262323">
              <w:rPr>
                <w:szCs w:val="24"/>
              </w:rPr>
              <w:t>отенциал</w:t>
            </w:r>
            <w:proofErr w:type="spellEnd"/>
            <w:r w:rsidRPr="00262323">
              <w:rPr>
                <w:szCs w:val="24"/>
              </w:rPr>
              <w:t xml:space="preserve"> поляризованного электрода и диффузионное перенапряжение. </w:t>
            </w:r>
          </w:p>
          <w:p w:rsidR="00262323" w:rsidRPr="00262323" w:rsidRDefault="00262323" w:rsidP="00262323">
            <w:pPr>
              <w:pStyle w:val="ab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2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Кинетика сложных электрохимических реакций. Анодное растворение и пассивность металлов</w:t>
            </w:r>
          </w:p>
          <w:p w:rsidR="00262323" w:rsidRPr="00262323" w:rsidRDefault="00262323" w:rsidP="00262323">
            <w:pPr>
              <w:pStyle w:val="ad"/>
              <w:jc w:val="both"/>
              <w:rPr>
                <w:b/>
                <w:szCs w:val="24"/>
              </w:rPr>
            </w:pPr>
            <w:r w:rsidRPr="00262323">
              <w:rPr>
                <w:szCs w:val="24"/>
              </w:rPr>
              <w:t>Электрохимические реакции с последовательным переносом нескольких электронов и произвольным числом участников. Кажущиеся коэффициенты переноса.</w:t>
            </w:r>
            <w:r w:rsidRPr="00262323">
              <w:rPr>
                <w:color w:val="FF0000"/>
                <w:szCs w:val="24"/>
              </w:rPr>
              <w:t xml:space="preserve"> </w:t>
            </w:r>
            <w:r w:rsidRPr="00262323">
              <w:rPr>
                <w:szCs w:val="24"/>
              </w:rPr>
              <w:t>Химическое перенапряжение Кинетический предельный ток. Перенапряжение, связанное с образованием и ростом зародышей новой фазы. Смешанная кинетика. Электрохимические процессы, контролируемые электрохимической и диффузионной стадией. Роль диффузионных процессов при электроосаждении металлов. Методы исследования кинетики электрохимических процессов.</w:t>
            </w:r>
          </w:p>
          <w:p w:rsidR="00262323" w:rsidRPr="00262323" w:rsidRDefault="00262323" w:rsidP="0026232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23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Анодное растворение. Образование поверхностных слоев. Пассивность металлов, теория пассивности, кинетика процесса пассивирования. </w:t>
            </w:r>
            <w:proofErr w:type="spellStart"/>
            <w:r w:rsidRPr="002623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Перепассивация</w:t>
            </w:r>
            <w:proofErr w:type="spellEnd"/>
            <w:r w:rsidRPr="002623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23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металлов</w:t>
            </w:r>
            <w:proofErr w:type="gramStart"/>
            <w:r w:rsidRPr="002623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.О</w:t>
            </w:r>
            <w:proofErr w:type="gramEnd"/>
            <w:r w:rsidRPr="002623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сновные</w:t>
            </w:r>
            <w:proofErr w:type="spellEnd"/>
            <w:r w:rsidRPr="002623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понятия электрохимической коррозии. Скорость коррозии металла и коррозионный потенциал. Анодные и катодные процессы при электрохимической коррозии металлов. Внутренние и внешние факторы электрохимической коррозии металлов. Особенности поведения металлов в условиях возникновения пассивности. Защита от коррозии.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62323" w:rsidRDefault="00262323" w:rsidP="00262323">
            <w:pPr>
              <w:pStyle w:val="a"/>
              <w:numPr>
                <w:ilvl w:val="0"/>
                <w:numId w:val="6"/>
              </w:numPr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DF2EDB">
              <w:rPr>
                <w:rStyle w:val="FontStyle63"/>
                <w:sz w:val="24"/>
                <w:szCs w:val="24"/>
              </w:rPr>
              <w:t>способен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 (ПК-3</w:t>
            </w:r>
            <w:proofErr w:type="gramStart"/>
            <w:r w:rsidRPr="00DF2EDB">
              <w:rPr>
                <w:rStyle w:val="FontStyle63"/>
                <w:sz w:val="24"/>
                <w:szCs w:val="24"/>
              </w:rPr>
              <w:t xml:space="preserve"> )</w:t>
            </w:r>
            <w:proofErr w:type="gramEnd"/>
            <w:r w:rsidRPr="00DF2EDB">
              <w:rPr>
                <w:rStyle w:val="FontStyle63"/>
                <w:sz w:val="24"/>
                <w:szCs w:val="24"/>
              </w:rPr>
              <w:t>;</w:t>
            </w:r>
            <w:r w:rsidRPr="00DF2EDB">
              <w:rPr>
                <w:sz w:val="24"/>
                <w:szCs w:val="24"/>
              </w:rPr>
              <w:t xml:space="preserve"> </w:t>
            </w:r>
          </w:p>
          <w:p w:rsidR="00EC3128" w:rsidRPr="00262323" w:rsidRDefault="00262323" w:rsidP="00262323">
            <w:pPr>
              <w:pStyle w:val="a"/>
              <w:numPr>
                <w:ilvl w:val="0"/>
                <w:numId w:val="6"/>
              </w:numPr>
              <w:spacing w:line="240" w:lineRule="auto"/>
              <w:ind w:left="284" w:hanging="284"/>
              <w:rPr>
                <w:sz w:val="24"/>
                <w:szCs w:val="24"/>
              </w:rPr>
            </w:pPr>
            <w:proofErr w:type="gramStart"/>
            <w:r w:rsidRPr="005A44D3">
              <w:rPr>
                <w:iCs/>
                <w:sz w:val="24"/>
                <w:szCs w:val="24"/>
              </w:rPr>
              <w:t>способен</w:t>
            </w:r>
            <w:proofErr w:type="gramEnd"/>
            <w:r w:rsidRPr="005A44D3">
              <w:rPr>
                <w:iCs/>
                <w:sz w:val="24"/>
                <w:szCs w:val="24"/>
              </w:rPr>
              <w:t xml:space="preserve"> использовать знание свойств химических элементов, соединений и материалов на их основе для решения задач профессиональной деятельности (ПК-23);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4587E" w:rsidRPr="00262323" w:rsidRDefault="00DA5120" w:rsidP="0054587E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  <w:r w:rsidR="00262323"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определения теоретической электрохимии; типы электрохимических систем и их составные части и свойства; физико-химические процессы, протекающие на границе раздела фаз металл-электролит в равновесных и неравновесных условиях; механизм электрохимических реакций, их термодинамику и кинетику; </w:t>
            </w:r>
            <w:r w:rsidR="00262323" w:rsidRPr="002623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наиболее важные примеры практической реализации электрохимических процессов и явлений;</w:t>
            </w:r>
          </w:p>
          <w:p w:rsidR="00351DCB" w:rsidRPr="00262323" w:rsidRDefault="00DA5120" w:rsidP="0026232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1D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Умения:</w:t>
            </w:r>
            <w:r w:rsidR="00351DCB" w:rsidRPr="0035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323" w:rsidRPr="0026232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взаимосвязь между природой электрохимической системы и процессами, которые могут в ней протекать; правильно сформулировать задачу при </w:t>
            </w:r>
            <w:r w:rsidR="00262323" w:rsidRPr="00262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постановке электрохимического исследования  и разработать путь ее решения;</w:t>
            </w:r>
            <w:r w:rsidR="00262323" w:rsidRPr="002623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DA5120" w:rsidRPr="00351DCB" w:rsidRDefault="001103DB" w:rsidP="00262323">
            <w:pPr>
              <w:ind w:right="-5"/>
              <w:jc w:val="both"/>
              <w:rPr>
                <w:rStyle w:val="FontStyle74"/>
                <w:sz w:val="24"/>
                <w:szCs w:val="24"/>
              </w:rPr>
            </w:pPr>
            <w:r w:rsidRPr="00351D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</w:t>
            </w:r>
            <w:r w:rsidR="00DA5120" w:rsidRPr="00351D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ладение: </w:t>
            </w:r>
            <w:r w:rsidR="00262323" w:rsidRPr="00262323">
              <w:rPr>
                <w:rFonts w:ascii="Times New Roman" w:hAnsi="Times New Roman" w:cs="Times New Roman"/>
                <w:sz w:val="24"/>
                <w:szCs w:val="24"/>
              </w:rPr>
              <w:t>техникой электрохимических измерений; информацией об областях применения и перспективах развития электрохимических технологий.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351DCB" w:rsidRDefault="00EC3128" w:rsidP="00351DC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педагогической), связанной с</w:t>
            </w:r>
            <w:r w:rsidR="00351DCB">
              <w:rPr>
                <w:rFonts w:ascii="Times New Roman" w:hAnsi="Times New Roman" w:cs="Times New Roman"/>
                <w:iCs/>
              </w:rPr>
              <w:t xml:space="preserve"> проектированием и изготовлением художественных изделий</w:t>
            </w:r>
            <w:r w:rsidR="00262323">
              <w:rPr>
                <w:rFonts w:ascii="Times New Roman" w:hAnsi="Times New Roman" w:cs="Times New Roman"/>
                <w:iCs/>
              </w:rPr>
              <w:t xml:space="preserve"> с использованием процессов нанесения покрытий</w:t>
            </w:r>
            <w:r w:rsidR="00351DC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351DCB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доцент Ершова Т.</w:t>
            </w:r>
            <w:r w:rsidR="00EC3128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3A" w:rsidRDefault="00B3423A" w:rsidP="0009351E">
      <w:pPr>
        <w:spacing w:after="0" w:line="240" w:lineRule="auto"/>
      </w:pPr>
      <w:r>
        <w:separator/>
      </w:r>
    </w:p>
  </w:endnote>
  <w:end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3D" w:rsidRDefault="00C95F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3D" w:rsidRDefault="00C95F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3D" w:rsidRDefault="00C95F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3A" w:rsidRDefault="00B3423A" w:rsidP="0009351E">
      <w:pPr>
        <w:spacing w:after="0" w:line="240" w:lineRule="auto"/>
      </w:pPr>
      <w:r>
        <w:separator/>
      </w:r>
    </w:p>
  </w:footnote>
  <w:foot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3D" w:rsidRDefault="00C95F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3D" w:rsidRDefault="00C95F3D" w:rsidP="00C95F3D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C95F3D" w:rsidRPr="00684378" w:rsidRDefault="00C95F3D" w:rsidP="00C95F3D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C95F3D" w:rsidRPr="00684378" w:rsidRDefault="00C95F3D" w:rsidP="00C95F3D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C95F3D" w:rsidRDefault="00C95F3D" w:rsidP="00C95F3D">
    <w:pPr>
      <w:pStyle w:val="a4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3D" w:rsidRDefault="00C95F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9351E"/>
    <w:rsid w:val="000D770F"/>
    <w:rsid w:val="001103DB"/>
    <w:rsid w:val="001C49B1"/>
    <w:rsid w:val="002062ED"/>
    <w:rsid w:val="002217E0"/>
    <w:rsid w:val="00262323"/>
    <w:rsid w:val="00293BFF"/>
    <w:rsid w:val="002A05F8"/>
    <w:rsid w:val="002F14BE"/>
    <w:rsid w:val="00351DCB"/>
    <w:rsid w:val="003D5EE1"/>
    <w:rsid w:val="00424CC8"/>
    <w:rsid w:val="00464014"/>
    <w:rsid w:val="004D3E33"/>
    <w:rsid w:val="005435A0"/>
    <w:rsid w:val="0054587E"/>
    <w:rsid w:val="0057065D"/>
    <w:rsid w:val="005D35EB"/>
    <w:rsid w:val="005F26C1"/>
    <w:rsid w:val="00686831"/>
    <w:rsid w:val="0074257B"/>
    <w:rsid w:val="00750C23"/>
    <w:rsid w:val="007932D3"/>
    <w:rsid w:val="007D31B1"/>
    <w:rsid w:val="007F74E1"/>
    <w:rsid w:val="00906A6B"/>
    <w:rsid w:val="00910E79"/>
    <w:rsid w:val="00926D07"/>
    <w:rsid w:val="00AF7C98"/>
    <w:rsid w:val="00B3423A"/>
    <w:rsid w:val="00B92756"/>
    <w:rsid w:val="00C602DC"/>
    <w:rsid w:val="00C737E5"/>
    <w:rsid w:val="00C73866"/>
    <w:rsid w:val="00C7744B"/>
    <w:rsid w:val="00C91EA5"/>
    <w:rsid w:val="00C95F3D"/>
    <w:rsid w:val="00CB1E47"/>
    <w:rsid w:val="00CC474E"/>
    <w:rsid w:val="00D062D2"/>
    <w:rsid w:val="00D23F73"/>
    <w:rsid w:val="00DA5120"/>
    <w:rsid w:val="00DE4BE9"/>
    <w:rsid w:val="00DF41F7"/>
    <w:rsid w:val="00E21F59"/>
    <w:rsid w:val="00E36FF1"/>
    <w:rsid w:val="00EA32EB"/>
    <w:rsid w:val="00EC3128"/>
    <w:rsid w:val="00F415CD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tep1</cp:lastModifiedBy>
  <cp:revision>5</cp:revision>
  <dcterms:created xsi:type="dcterms:W3CDTF">2015-02-27T17:50:00Z</dcterms:created>
  <dcterms:modified xsi:type="dcterms:W3CDTF">2015-03-03T06:17:00Z</dcterms:modified>
</cp:coreProperties>
</file>